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201D0">
      <w:pPr>
        <w:jc w:val="left"/>
        <w:rPr>
          <w:rFonts w:hint="default" w:ascii="Times New Roman" w:hAnsi="Times New Roman" w:eastAsia="黑体" w:cs="Times New Roman"/>
          <w:spacing w:val="20"/>
          <w:sz w:val="28"/>
          <w:szCs w:val="28"/>
          <w:lang w:val="en-US" w:eastAsia="zh-CN"/>
        </w:rPr>
      </w:pPr>
      <w:bookmarkStart w:id="0" w:name="OLE_LINK3"/>
      <w:r>
        <w:rPr>
          <w:rFonts w:hint="default" w:ascii="Times New Roman" w:hAnsi="Times New Roman" w:eastAsia="黑体" w:cs="Times New Roman"/>
          <w:spacing w:val="20"/>
          <w:sz w:val="28"/>
          <w:szCs w:val="28"/>
          <w:lang w:val="en-US" w:eastAsia="zh-CN"/>
        </w:rPr>
        <w:t>附件1</w:t>
      </w:r>
    </w:p>
    <w:p w14:paraId="4A059246">
      <w:pPr>
        <w:jc w:val="center"/>
        <w:rPr>
          <w:rFonts w:hint="eastAsia" w:ascii="方正小标宋简体" w:hAnsi="方正小标宋简体" w:eastAsia="方正小标宋简体" w:cs="仿宋_GB2312"/>
          <w:spacing w:val="20"/>
          <w:sz w:val="44"/>
          <w:szCs w:val="44"/>
        </w:rPr>
      </w:pPr>
    </w:p>
    <w:p w14:paraId="1B534860">
      <w:pPr>
        <w:jc w:val="center"/>
        <w:rPr>
          <w:rFonts w:hint="eastAsia" w:ascii="方正小标宋简体" w:hAnsi="方正小标宋简体" w:eastAsia="方正小标宋简体" w:cs="仿宋_GB2312"/>
          <w:spacing w:val="-20"/>
          <w:sz w:val="44"/>
          <w:szCs w:val="44"/>
        </w:rPr>
      </w:pPr>
      <w:r>
        <w:rPr>
          <w:rFonts w:hint="eastAsia" w:ascii="方正小标宋简体" w:hAnsi="方正小标宋简体" w:eastAsia="方正小标宋简体" w:cs="仿宋_GB2312"/>
          <w:spacing w:val="20"/>
          <w:sz w:val="44"/>
          <w:szCs w:val="44"/>
        </w:rPr>
        <w:t>云南省</w:t>
      </w:r>
      <w:bookmarkStart w:id="1" w:name="_Hlk229729290"/>
      <w:bookmarkStart w:id="2" w:name="OLE_LINK1"/>
      <w:r>
        <w:rPr>
          <w:rFonts w:hint="eastAsia" w:ascii="方正小标宋简体" w:hAnsi="方正小标宋简体" w:eastAsia="方正小标宋简体" w:cs="仿宋_GB2312"/>
          <w:spacing w:val="20"/>
          <w:sz w:val="44"/>
          <w:szCs w:val="44"/>
        </w:rPr>
        <w:t>通信报装小区信息通信基础设施</w:t>
      </w:r>
      <w:bookmarkEnd w:id="1"/>
      <w:r>
        <w:rPr>
          <w:rFonts w:hint="eastAsia" w:ascii="方正小标宋简体" w:hAnsi="方正小标宋简体" w:eastAsia="方正小标宋简体" w:cs="仿宋_GB2312"/>
          <w:spacing w:val="-20"/>
          <w:sz w:val="44"/>
          <w:szCs w:val="44"/>
        </w:rPr>
        <w:t>维护管理</w:t>
      </w:r>
      <w:bookmarkEnd w:id="2"/>
      <w:r>
        <w:rPr>
          <w:rFonts w:hint="eastAsia" w:ascii="方正小标宋简体" w:hAnsi="方正小标宋简体" w:eastAsia="方正小标宋简体" w:cs="仿宋_GB2312"/>
          <w:spacing w:val="-20"/>
          <w:sz w:val="44"/>
          <w:szCs w:val="44"/>
        </w:rPr>
        <w:t>实施细则</w:t>
      </w:r>
    </w:p>
    <w:p w14:paraId="71F0537F">
      <w:pPr>
        <w:jc w:val="center"/>
        <w:rPr>
          <w:rFonts w:hint="eastAsia" w:ascii="方正小标宋简体" w:hAnsi="方正小标宋简体" w:eastAsia="方正小标宋简体" w:cs="仿宋_GB2312"/>
          <w:spacing w:val="-20"/>
          <w:sz w:val="44"/>
          <w:szCs w:val="44"/>
          <w:lang w:eastAsia="zh-CN"/>
        </w:rPr>
      </w:pPr>
      <w:r>
        <w:rPr>
          <w:rFonts w:hint="eastAsia" w:ascii="方正小标宋简体" w:hAnsi="方正小标宋简体" w:eastAsia="方正小标宋简体" w:cs="仿宋_GB2312"/>
          <w:spacing w:val="-20"/>
          <w:sz w:val="44"/>
          <w:szCs w:val="44"/>
          <w:lang w:eastAsia="zh-CN"/>
        </w:rPr>
        <w:t>（</w:t>
      </w:r>
      <w:r>
        <w:rPr>
          <w:rFonts w:hint="eastAsia" w:ascii="方正小标宋简体" w:hAnsi="方正小标宋简体" w:eastAsia="方正小标宋简体" w:cs="仿宋_GB2312"/>
          <w:spacing w:val="-20"/>
          <w:sz w:val="44"/>
          <w:szCs w:val="44"/>
          <w:lang w:val="en-US" w:eastAsia="zh-CN"/>
        </w:rPr>
        <w:t>征求意见稿</w:t>
      </w:r>
      <w:r>
        <w:rPr>
          <w:rFonts w:hint="eastAsia" w:ascii="方正小标宋简体" w:hAnsi="方正小标宋简体" w:eastAsia="方正小标宋简体" w:cs="仿宋_GB2312"/>
          <w:spacing w:val="-20"/>
          <w:sz w:val="44"/>
          <w:szCs w:val="44"/>
          <w:lang w:eastAsia="zh-CN"/>
        </w:rPr>
        <w:t>）</w:t>
      </w:r>
    </w:p>
    <w:p w14:paraId="41EEB963">
      <w:pPr>
        <w:pStyle w:val="5"/>
        <w:keepNext w:val="0"/>
        <w:keepLines w:val="0"/>
        <w:pageBreakBefore w:val="0"/>
        <w:widowControl w:val="0"/>
        <w:shd w:val="clear" w:color="auto" w:fill="FFFFFF"/>
        <w:kinsoku/>
        <w:wordWrap/>
        <w:overflowPunct/>
        <w:topLinePunct w:val="0"/>
        <w:autoSpaceDE/>
        <w:autoSpaceDN/>
        <w:bidi w:val="0"/>
        <w:adjustRightInd/>
        <w:snapToGrid/>
        <w:spacing w:before="0" w:beforeLines="100" w:after="0" w:afterLines="100" w:line="520" w:lineRule="exact"/>
        <w:ind w:left="0" w:leftChars="0" w:right="0" w:rightChars="0"/>
        <w:jc w:val="center"/>
        <w:textAlignment w:val="auto"/>
        <w:rPr>
          <w:rStyle w:val="8"/>
          <w:rFonts w:hint="eastAsia" w:ascii="仿宋_GB2312" w:hAnsi="仿宋_GB2312" w:eastAsia="仿宋_GB2312" w:cs="仿宋_GB2312"/>
          <w:bCs/>
          <w:sz w:val="32"/>
          <w:szCs w:val="32"/>
          <w:shd w:val="clear" w:color="auto" w:fill="FFFFFF"/>
        </w:rPr>
      </w:pPr>
      <w:bookmarkStart w:id="6" w:name="_GoBack"/>
      <w:bookmarkEnd w:id="6"/>
      <w:r>
        <w:rPr>
          <w:rStyle w:val="8"/>
          <w:rFonts w:hint="eastAsia" w:ascii="仿宋_GB2312" w:hAnsi="仿宋_GB2312" w:eastAsia="仿宋_GB2312" w:cs="仿宋_GB2312"/>
          <w:bCs/>
          <w:sz w:val="32"/>
          <w:szCs w:val="32"/>
          <w:shd w:val="clear" w:color="auto" w:fill="FFFFFF"/>
        </w:rPr>
        <w:t>第一章总则</w:t>
      </w:r>
    </w:p>
    <w:p w14:paraId="7E4AD07F">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第一条【制定目的与依据】</w:t>
      </w:r>
      <w:r>
        <w:rPr>
          <w:rFonts w:ascii="仿宋_GB2312" w:hAnsi="仿宋_GB2312" w:eastAsia="仿宋_GB2312" w:cs="仿宋_GB2312"/>
          <w:sz w:val="32"/>
          <w:szCs w:val="32"/>
          <w:shd w:val="clear" w:color="auto" w:fill="FFFFFF"/>
        </w:rPr>
        <w:t>为保障通信报装小区信息通信基础设施</w:t>
      </w:r>
      <w:r>
        <w:rPr>
          <w:rFonts w:hint="eastAsia" w:ascii="仿宋_GB2312" w:hAnsi="仿宋_GB2312" w:eastAsia="仿宋_GB2312" w:cs="仿宋_GB2312"/>
          <w:sz w:val="32"/>
          <w:szCs w:val="32"/>
          <w:shd w:val="clear" w:color="auto" w:fill="FFFFFF"/>
        </w:rPr>
        <w:t>（以下简称“</w:t>
      </w:r>
      <w:bookmarkStart w:id="3" w:name="_Hlk229731352"/>
      <w:r>
        <w:rPr>
          <w:rFonts w:hint="eastAsia" w:ascii="仿宋_GB2312" w:hAnsi="仿宋_GB2312" w:eastAsia="仿宋_GB2312" w:cs="仿宋_GB2312"/>
          <w:sz w:val="32"/>
          <w:szCs w:val="32"/>
          <w:shd w:val="clear" w:color="auto" w:fill="FFFFFF"/>
        </w:rPr>
        <w:t>基础设施</w:t>
      </w:r>
      <w:bookmarkEnd w:id="3"/>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的安全稳定运行，</w:t>
      </w:r>
      <w:r>
        <w:rPr>
          <w:rFonts w:hint="eastAsia" w:ascii="仿宋_GB2312" w:hAnsi="仿宋_GB2312" w:eastAsia="仿宋_GB2312" w:cs="仿宋_GB2312"/>
          <w:sz w:val="32"/>
          <w:szCs w:val="32"/>
          <w:shd w:val="clear" w:color="auto" w:fill="FFFFFF"/>
        </w:rPr>
        <w:t>切实维护用户自由选择宽带运营企业的权益</w:t>
      </w:r>
      <w:r>
        <w:rPr>
          <w:rFonts w:ascii="仿宋_GB2312" w:hAnsi="仿宋_GB2312" w:eastAsia="仿宋_GB2312" w:cs="仿宋_GB2312"/>
          <w:sz w:val="32"/>
          <w:szCs w:val="32"/>
          <w:shd w:val="clear" w:color="auto" w:fill="FFFFFF"/>
        </w:rPr>
        <w:t>，根据《中华人民共和国电信条例》《云南省电信设施建设和保护条例》《工业和信息化部等十四部门关于进一步深化电信基础设施共建共享促进“双千兆”网络高质量发展的实施意见》《住房城乡建设部工业和信息化部关于贯彻落实光纤到户国家标准的通知》等法律法规及政策规定，结合</w:t>
      </w:r>
      <w:r>
        <w:rPr>
          <w:rFonts w:hint="eastAsia" w:ascii="仿宋_GB2312" w:hAnsi="仿宋_GB2312" w:eastAsia="仿宋_GB2312" w:cs="仿宋_GB2312"/>
          <w:sz w:val="32"/>
          <w:szCs w:val="32"/>
          <w:shd w:val="clear" w:color="auto" w:fill="FFFFFF"/>
        </w:rPr>
        <w:t>我</w:t>
      </w:r>
      <w:r>
        <w:rPr>
          <w:rFonts w:ascii="仿宋_GB2312" w:hAnsi="仿宋_GB2312" w:eastAsia="仿宋_GB2312" w:cs="仿宋_GB2312"/>
          <w:sz w:val="32"/>
          <w:szCs w:val="32"/>
          <w:shd w:val="clear" w:color="auto" w:fill="FFFFFF"/>
        </w:rPr>
        <w:t>省实际，制定本细则</w:t>
      </w:r>
      <w:r>
        <w:rPr>
          <w:rFonts w:hint="eastAsia" w:ascii="仿宋_GB2312" w:hAnsi="仿宋_GB2312" w:eastAsia="仿宋_GB2312" w:cs="仿宋_GB2312"/>
          <w:sz w:val="32"/>
          <w:szCs w:val="32"/>
          <w:shd w:val="clear" w:color="auto" w:fill="FFFFFF"/>
        </w:rPr>
        <w:t>。</w:t>
      </w:r>
    </w:p>
    <w:bookmarkEnd w:id="0"/>
    <w:p w14:paraId="78A99770">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第二条【定义】</w:t>
      </w:r>
      <w:r>
        <w:rPr>
          <w:rFonts w:ascii="仿宋_GB2312" w:hAnsi="仿宋_GB2312" w:eastAsia="仿宋_GB2312" w:cs="仿宋_GB2312"/>
          <w:sz w:val="32"/>
          <w:szCs w:val="32"/>
          <w:shd w:val="clear" w:color="auto" w:fill="FFFFFF"/>
        </w:rPr>
        <w:t>本细则所称</w:t>
      </w:r>
      <w:r>
        <w:rPr>
          <w:rFonts w:hint="eastAsia" w:ascii="仿宋_GB2312" w:hAnsi="仿宋_GB2312" w:eastAsia="仿宋_GB2312" w:cs="仿宋_GB2312"/>
          <w:sz w:val="32"/>
          <w:szCs w:val="32"/>
          <w:shd w:val="clear" w:color="auto" w:fill="FFFFFF"/>
        </w:rPr>
        <w:t>基础设施</w:t>
      </w:r>
      <w:r>
        <w:rPr>
          <w:rFonts w:ascii="仿宋_GB2312" w:hAnsi="仿宋_GB2312" w:eastAsia="仿宋_GB2312" w:cs="仿宋_GB2312"/>
          <w:sz w:val="32"/>
          <w:szCs w:val="32"/>
          <w:shd w:val="clear" w:color="auto" w:fill="FFFFFF"/>
        </w:rPr>
        <w:t>是指从用户驻地业务集中点到用户终端之间的传输线路及相关配套设施，主要包括建筑规划用地红线内的地下通信管道、光缆交接箱、管槽及通信线缆、配线设施、家居配线箱、电信间、设备间、桥架、杆路、</w:t>
      </w:r>
      <w:r>
        <w:rPr>
          <w:rFonts w:hint="eastAsia" w:ascii="仿宋_GB2312" w:hAnsi="仿宋_GB2312" w:eastAsia="仿宋_GB2312" w:cs="仿宋_GB2312"/>
          <w:sz w:val="32"/>
          <w:szCs w:val="32"/>
          <w:shd w:val="clear" w:color="auto" w:fill="FFFFFF"/>
          <w:lang w:val="en-US" w:eastAsia="zh-CN"/>
        </w:rPr>
        <w:t>通信</w:t>
      </w:r>
      <w:r>
        <w:rPr>
          <w:rFonts w:ascii="仿宋_GB2312" w:hAnsi="仿宋_GB2312" w:eastAsia="仿宋_GB2312" w:cs="仿宋_GB2312"/>
          <w:sz w:val="32"/>
          <w:szCs w:val="32"/>
          <w:shd w:val="clear" w:color="auto" w:fill="FFFFFF"/>
        </w:rPr>
        <w:t>电源等通信配套设施。</w:t>
      </w:r>
    </w:p>
    <w:p w14:paraId="5E37FF03">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第</w:t>
      </w:r>
      <w:r>
        <w:rPr>
          <w:rFonts w:hint="eastAsia" w:ascii="仿宋_GB2312" w:hAnsi="仿宋_GB2312" w:eastAsia="仿宋_GB2312" w:cs="仿宋_GB2312"/>
          <w:b/>
          <w:bCs/>
          <w:sz w:val="32"/>
          <w:szCs w:val="32"/>
          <w:shd w:val="clear" w:color="auto" w:fill="FFFFFF"/>
        </w:rPr>
        <w:t>三</w:t>
      </w:r>
      <w:r>
        <w:rPr>
          <w:rFonts w:ascii="仿宋_GB2312" w:hAnsi="仿宋_GB2312" w:eastAsia="仿宋_GB2312" w:cs="仿宋_GB2312"/>
          <w:b/>
          <w:bCs/>
          <w:sz w:val="32"/>
          <w:szCs w:val="32"/>
          <w:shd w:val="clear" w:color="auto" w:fill="FFFFFF"/>
        </w:rPr>
        <w:t>条【基本原则】</w:t>
      </w:r>
      <w:r>
        <w:rPr>
          <w:rFonts w:hint="eastAsia" w:ascii="Calibri" w:hAnsi="Calibri" w:eastAsia="仿宋_GB2312" w:cs="Calibri"/>
          <w:sz w:val="32"/>
          <w:szCs w:val="32"/>
          <w:shd w:val="clear" w:color="auto" w:fill="FFFFFF"/>
        </w:rPr>
        <w:t>基础设施</w:t>
      </w:r>
      <w:r>
        <w:rPr>
          <w:rFonts w:hint="eastAsia" w:ascii="仿宋_GB2312" w:hAnsi="仿宋_GB2312" w:eastAsia="仿宋_GB2312" w:cs="仿宋_GB2312"/>
          <w:sz w:val="32"/>
          <w:szCs w:val="32"/>
          <w:shd w:val="clear" w:color="auto" w:fill="FFFFFF"/>
        </w:rPr>
        <w:t>维护</w:t>
      </w:r>
      <w:r>
        <w:rPr>
          <w:rFonts w:ascii="仿宋_GB2312" w:hAnsi="仿宋_GB2312" w:eastAsia="仿宋_GB2312" w:cs="仿宋_GB2312"/>
          <w:sz w:val="32"/>
          <w:szCs w:val="32"/>
          <w:shd w:val="clear" w:color="auto" w:fill="FFFFFF"/>
        </w:rPr>
        <w:t>管理应遵循以下原则：</w:t>
      </w:r>
    </w:p>
    <w:p w14:paraId="7DA66B2D">
      <w:pPr>
        <w:pStyle w:val="5"/>
        <w:shd w:val="clear" w:color="auto" w:fill="FFFFFF"/>
        <w:spacing w:line="520" w:lineRule="exact"/>
        <w:ind w:firstLine="640"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（一）</w:t>
      </w:r>
      <w:r>
        <w:rPr>
          <w:rFonts w:ascii="仿宋_GB2312" w:hAnsi="仿宋_GB2312" w:eastAsia="仿宋_GB2312" w:cs="仿宋_GB2312"/>
          <w:b/>
          <w:bCs/>
          <w:sz w:val="32"/>
          <w:szCs w:val="32"/>
          <w:shd w:val="clear" w:color="auto" w:fill="FFFFFF"/>
        </w:rPr>
        <w:t>安全第一、预防为主：</w:t>
      </w:r>
      <w:r>
        <w:rPr>
          <w:rFonts w:ascii="仿宋_GB2312" w:hAnsi="仿宋_GB2312" w:eastAsia="仿宋_GB2312" w:cs="仿宋_GB2312"/>
          <w:sz w:val="32"/>
          <w:szCs w:val="32"/>
          <w:shd w:val="clear" w:color="auto" w:fill="FFFFFF"/>
        </w:rPr>
        <w:t>严格落实安全生产责任，保障设施及人员安全。</w:t>
      </w:r>
    </w:p>
    <w:p w14:paraId="39E2F3B1">
      <w:pPr>
        <w:pStyle w:val="5"/>
        <w:shd w:val="clear" w:color="auto" w:fill="FFFFFF"/>
        <w:spacing w:line="520" w:lineRule="exact"/>
        <w:ind w:firstLine="640"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（二）</w:t>
      </w:r>
      <w:r>
        <w:rPr>
          <w:rFonts w:ascii="仿宋_GB2312" w:hAnsi="仿宋_GB2312" w:eastAsia="仿宋_GB2312" w:cs="仿宋_GB2312"/>
          <w:b/>
          <w:bCs/>
          <w:sz w:val="32"/>
          <w:szCs w:val="32"/>
          <w:shd w:val="clear" w:color="auto" w:fill="FFFFFF"/>
        </w:rPr>
        <w:t>谁使用、谁受益、谁负责：</w:t>
      </w:r>
      <w:r>
        <w:rPr>
          <w:rFonts w:hint="eastAsia" w:ascii="仿宋_GB2312" w:hAnsi="仿宋_GB2312" w:eastAsia="仿宋_GB2312" w:cs="仿宋_GB2312"/>
          <w:sz w:val="32"/>
          <w:szCs w:val="32"/>
          <w:shd w:val="clear" w:color="auto" w:fill="FFFFFF"/>
        </w:rPr>
        <w:t>基础电信企业</w:t>
      </w:r>
      <w:r>
        <w:rPr>
          <w:rFonts w:ascii="仿宋_GB2312" w:hAnsi="仿宋_GB2312" w:eastAsia="仿宋_GB2312" w:cs="仿宋_GB2312"/>
          <w:sz w:val="32"/>
          <w:szCs w:val="32"/>
          <w:shd w:val="clear" w:color="auto" w:fill="FFFFFF"/>
        </w:rPr>
        <w:t>应对其使用的设施承担维护责任。</w:t>
      </w:r>
    </w:p>
    <w:p w14:paraId="1FECCE18">
      <w:pPr>
        <w:pStyle w:val="5"/>
        <w:shd w:val="clear" w:color="auto" w:fill="FFFFFF"/>
        <w:spacing w:line="520" w:lineRule="exact"/>
        <w:ind w:firstLine="640"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（三）</w:t>
      </w:r>
      <w:r>
        <w:rPr>
          <w:rFonts w:ascii="仿宋_GB2312" w:hAnsi="仿宋_GB2312" w:eastAsia="仿宋_GB2312" w:cs="仿宋_GB2312"/>
          <w:b/>
          <w:bCs/>
          <w:sz w:val="32"/>
          <w:szCs w:val="32"/>
          <w:shd w:val="clear" w:color="auto" w:fill="FFFFFF"/>
        </w:rPr>
        <w:t>开放共享、公平接入：</w:t>
      </w:r>
      <w:r>
        <w:rPr>
          <w:rFonts w:ascii="仿宋_GB2312" w:hAnsi="仿宋_GB2312" w:eastAsia="仿宋_GB2312" w:cs="仿宋_GB2312"/>
          <w:sz w:val="32"/>
          <w:szCs w:val="32"/>
          <w:shd w:val="clear" w:color="auto" w:fill="FFFFFF"/>
        </w:rPr>
        <w:t>确保所有</w:t>
      </w:r>
      <w:r>
        <w:rPr>
          <w:rFonts w:hint="eastAsia" w:ascii="仿宋_GB2312" w:hAnsi="仿宋_GB2312" w:eastAsia="仿宋_GB2312" w:cs="仿宋_GB2312"/>
          <w:sz w:val="32"/>
          <w:szCs w:val="32"/>
          <w:shd w:val="clear" w:color="auto" w:fill="FFFFFF"/>
        </w:rPr>
        <w:t>基础电信企业</w:t>
      </w:r>
      <w:r>
        <w:rPr>
          <w:rFonts w:ascii="仿宋_GB2312" w:hAnsi="仿宋_GB2312" w:eastAsia="仿宋_GB2312" w:cs="仿宋_GB2312"/>
          <w:sz w:val="32"/>
          <w:szCs w:val="32"/>
          <w:shd w:val="clear" w:color="auto" w:fill="FFFFFF"/>
        </w:rPr>
        <w:t>平等接入权利，保障用户自由</w:t>
      </w:r>
      <w:r>
        <w:rPr>
          <w:rFonts w:hint="eastAsia" w:ascii="仿宋_GB2312" w:hAnsi="仿宋_GB2312" w:eastAsia="仿宋_GB2312" w:cs="仿宋_GB2312"/>
          <w:sz w:val="32"/>
          <w:szCs w:val="32"/>
          <w:shd w:val="clear" w:color="auto" w:fill="FFFFFF"/>
        </w:rPr>
        <w:t>选择</w:t>
      </w:r>
      <w:bookmarkStart w:id="4" w:name="OLE_LINK9"/>
      <w:r>
        <w:rPr>
          <w:rFonts w:hint="eastAsia" w:ascii="仿宋_GB2312" w:hAnsi="仿宋_GB2312" w:eastAsia="仿宋_GB2312" w:cs="仿宋_GB2312"/>
          <w:sz w:val="32"/>
          <w:szCs w:val="32"/>
          <w:shd w:val="clear" w:color="auto" w:fill="FFFFFF"/>
        </w:rPr>
        <w:t>基础电信企业</w:t>
      </w:r>
      <w:bookmarkEnd w:id="4"/>
      <w:r>
        <w:rPr>
          <w:rFonts w:hint="eastAsia" w:ascii="仿宋_GB2312" w:hAnsi="仿宋_GB2312" w:eastAsia="仿宋_GB2312" w:cs="仿宋_GB2312"/>
          <w:sz w:val="32"/>
          <w:szCs w:val="32"/>
          <w:shd w:val="clear" w:color="auto" w:fill="FFFFFF"/>
        </w:rPr>
        <w:t>的权利</w:t>
      </w:r>
      <w:r>
        <w:rPr>
          <w:rFonts w:ascii="仿宋_GB2312" w:hAnsi="仿宋_GB2312" w:eastAsia="仿宋_GB2312" w:cs="仿宋_GB2312"/>
          <w:sz w:val="32"/>
          <w:szCs w:val="32"/>
          <w:shd w:val="clear" w:color="auto" w:fill="FFFFFF"/>
        </w:rPr>
        <w:t>。</w:t>
      </w:r>
    </w:p>
    <w:p w14:paraId="3607156D">
      <w:pPr>
        <w:pStyle w:val="5"/>
        <w:shd w:val="clear" w:color="auto" w:fill="FFFFFF"/>
        <w:spacing w:line="520" w:lineRule="exact"/>
        <w:ind w:firstLine="640"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（四）</w:t>
      </w:r>
      <w:r>
        <w:rPr>
          <w:rFonts w:ascii="仿宋_GB2312" w:hAnsi="仿宋_GB2312" w:eastAsia="仿宋_GB2312" w:cs="仿宋_GB2312"/>
          <w:b/>
          <w:bCs/>
          <w:sz w:val="32"/>
          <w:szCs w:val="32"/>
          <w:shd w:val="clear" w:color="auto" w:fill="FFFFFF"/>
        </w:rPr>
        <w:t>权责对等、规范管理：</w:t>
      </w:r>
      <w:r>
        <w:rPr>
          <w:rFonts w:ascii="仿宋_GB2312" w:hAnsi="仿宋_GB2312" w:eastAsia="仿宋_GB2312" w:cs="仿宋_GB2312"/>
          <w:sz w:val="32"/>
          <w:szCs w:val="32"/>
          <w:shd w:val="clear" w:color="auto" w:fill="FFFFFF"/>
        </w:rPr>
        <w:t>明确责任边界，确保</w:t>
      </w:r>
      <w:r>
        <w:rPr>
          <w:rFonts w:hint="eastAsia" w:ascii="仿宋_GB2312" w:hAnsi="仿宋_GB2312" w:eastAsia="仿宋_GB2312" w:cs="仿宋_GB2312"/>
          <w:sz w:val="32"/>
          <w:szCs w:val="32"/>
          <w:shd w:val="clear" w:color="auto" w:fill="FFFFFF"/>
        </w:rPr>
        <w:t>基础设施</w:t>
      </w:r>
      <w:r>
        <w:rPr>
          <w:rFonts w:ascii="仿宋_GB2312" w:hAnsi="仿宋_GB2312" w:eastAsia="仿宋_GB2312" w:cs="仿宋_GB2312"/>
          <w:sz w:val="32"/>
          <w:szCs w:val="32"/>
          <w:shd w:val="clear" w:color="auto" w:fill="FFFFFF"/>
        </w:rPr>
        <w:t>可管可控、运行稳定、管理规范。</w:t>
      </w:r>
    </w:p>
    <w:p w14:paraId="26BF215C">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第</w:t>
      </w:r>
      <w:r>
        <w:rPr>
          <w:rFonts w:hint="eastAsia" w:ascii="仿宋_GB2312" w:hAnsi="仿宋_GB2312" w:eastAsia="仿宋_GB2312" w:cs="仿宋_GB2312"/>
          <w:b/>
          <w:bCs/>
          <w:sz w:val="32"/>
          <w:szCs w:val="32"/>
          <w:shd w:val="clear" w:color="auto" w:fill="FFFFFF"/>
          <w:lang w:val="en-US" w:eastAsia="zh-CN"/>
        </w:rPr>
        <w:t>四</w:t>
      </w:r>
      <w:r>
        <w:rPr>
          <w:rFonts w:ascii="仿宋_GB2312" w:hAnsi="仿宋_GB2312" w:eastAsia="仿宋_GB2312" w:cs="仿宋_GB2312"/>
          <w:b/>
          <w:bCs/>
          <w:sz w:val="32"/>
          <w:szCs w:val="32"/>
          <w:shd w:val="clear" w:color="auto" w:fill="FFFFFF"/>
        </w:rPr>
        <w:t>条【</w:t>
      </w:r>
      <w:r>
        <w:rPr>
          <w:rFonts w:hint="eastAsia" w:ascii="仿宋_GB2312" w:hAnsi="仿宋_GB2312" w:eastAsia="仿宋_GB2312" w:cs="仿宋_GB2312"/>
          <w:b/>
          <w:bCs/>
          <w:sz w:val="32"/>
          <w:szCs w:val="32"/>
          <w:shd w:val="clear" w:color="auto" w:fill="FFFFFF"/>
        </w:rPr>
        <w:t>职责划分</w:t>
      </w:r>
      <w:r>
        <w:rPr>
          <w:rFonts w:ascii="仿宋_GB2312" w:hAnsi="仿宋_GB2312" w:eastAsia="仿宋_GB2312" w:cs="仿宋_GB2312"/>
          <w:b/>
          <w:bCs/>
          <w:sz w:val="32"/>
          <w:szCs w:val="32"/>
          <w:shd w:val="clear" w:color="auto" w:fill="FFFFFF"/>
        </w:rPr>
        <w:t>】</w:t>
      </w:r>
      <w:r>
        <w:rPr>
          <w:rFonts w:ascii="仿宋_GB2312" w:hAnsi="仿宋_GB2312" w:eastAsia="仿宋_GB2312" w:cs="仿宋_GB2312"/>
          <w:sz w:val="32"/>
          <w:szCs w:val="32"/>
          <w:shd w:val="clear" w:color="auto" w:fill="FFFFFF"/>
        </w:rPr>
        <w:t>各州（市）信息通信建设管理办公室（以下简称“通管办”）负责统筹推进本辖区基础设施的维护管理工作，承担组织、协调、指导和监督职责。各基础电信企业是基础设施</w:t>
      </w:r>
      <w:r>
        <w:rPr>
          <w:rFonts w:hint="eastAsia" w:ascii="仿宋_GB2312" w:hAnsi="仿宋_GB2312" w:eastAsia="仿宋_GB2312" w:cs="仿宋_GB2312"/>
          <w:sz w:val="32"/>
          <w:szCs w:val="32"/>
          <w:shd w:val="clear" w:color="auto" w:fill="FFFFFF"/>
        </w:rPr>
        <w:t>维护</w:t>
      </w:r>
      <w:r>
        <w:rPr>
          <w:rFonts w:ascii="仿宋_GB2312" w:hAnsi="仿宋_GB2312" w:eastAsia="仿宋_GB2312" w:cs="仿宋_GB2312"/>
          <w:sz w:val="32"/>
          <w:szCs w:val="32"/>
          <w:shd w:val="clear" w:color="auto" w:fill="FFFFFF"/>
        </w:rPr>
        <w:t>管理的责任主体，负责具体工作的</w:t>
      </w:r>
      <w:r>
        <w:rPr>
          <w:rFonts w:hint="eastAsia" w:ascii="仿宋_GB2312" w:hAnsi="仿宋_GB2312" w:eastAsia="仿宋_GB2312" w:cs="仿宋_GB2312"/>
          <w:sz w:val="32"/>
          <w:szCs w:val="32"/>
          <w:shd w:val="clear" w:color="auto" w:fill="FFFFFF"/>
        </w:rPr>
        <w:t>执行和</w:t>
      </w:r>
      <w:r>
        <w:rPr>
          <w:rFonts w:ascii="仿宋_GB2312" w:hAnsi="仿宋_GB2312" w:eastAsia="仿宋_GB2312" w:cs="仿宋_GB2312"/>
          <w:sz w:val="32"/>
          <w:szCs w:val="32"/>
          <w:shd w:val="clear" w:color="auto" w:fill="FFFFFF"/>
        </w:rPr>
        <w:t>实施。</w:t>
      </w:r>
    </w:p>
    <w:p w14:paraId="4D8C4E24">
      <w:pPr>
        <w:pStyle w:val="5"/>
        <w:keepNext w:val="0"/>
        <w:keepLines w:val="0"/>
        <w:pageBreakBefore w:val="0"/>
        <w:widowControl w:val="0"/>
        <w:shd w:val="clear" w:color="auto" w:fill="FFFFFF"/>
        <w:kinsoku/>
        <w:wordWrap/>
        <w:overflowPunct/>
        <w:topLinePunct w:val="0"/>
        <w:autoSpaceDE/>
        <w:autoSpaceDN/>
        <w:bidi w:val="0"/>
        <w:adjustRightInd/>
        <w:snapToGrid/>
        <w:spacing w:before="0" w:beforeLines="100" w:after="0" w:afterLines="100" w:line="520" w:lineRule="exact"/>
        <w:ind w:left="0" w:leftChars="0" w:right="0" w:rightChars="0"/>
        <w:jc w:val="center"/>
        <w:textAlignment w:val="auto"/>
        <w:rPr>
          <w:rStyle w:val="8"/>
          <w:rFonts w:hint="eastAsia" w:ascii="仿宋_GB2312" w:hAnsi="仿宋_GB2312" w:eastAsia="仿宋_GB2312" w:cs="仿宋_GB2312"/>
          <w:bCs/>
          <w:sz w:val="32"/>
          <w:szCs w:val="32"/>
          <w:shd w:val="clear" w:color="auto" w:fill="FFFFFF"/>
        </w:rPr>
      </w:pPr>
      <w:r>
        <w:rPr>
          <w:rStyle w:val="8"/>
          <w:rFonts w:ascii="仿宋_GB2312" w:hAnsi="仿宋_GB2312" w:eastAsia="仿宋_GB2312" w:cs="仿宋_GB2312"/>
          <w:bCs/>
          <w:sz w:val="32"/>
          <w:szCs w:val="32"/>
          <w:shd w:val="clear" w:color="auto" w:fill="FFFFFF"/>
        </w:rPr>
        <w:t>第</w:t>
      </w:r>
      <w:r>
        <w:rPr>
          <w:rStyle w:val="8"/>
          <w:rFonts w:hint="eastAsia" w:ascii="仿宋_GB2312" w:hAnsi="仿宋_GB2312" w:eastAsia="仿宋_GB2312" w:cs="仿宋_GB2312"/>
          <w:bCs/>
          <w:sz w:val="32"/>
          <w:szCs w:val="32"/>
          <w:shd w:val="clear" w:color="auto" w:fill="FFFFFF"/>
        </w:rPr>
        <w:t>二</w:t>
      </w:r>
      <w:r>
        <w:rPr>
          <w:rStyle w:val="8"/>
          <w:rFonts w:ascii="仿宋_GB2312" w:hAnsi="仿宋_GB2312" w:eastAsia="仿宋_GB2312" w:cs="仿宋_GB2312"/>
          <w:bCs/>
          <w:sz w:val="32"/>
          <w:szCs w:val="32"/>
          <w:shd w:val="clear" w:color="auto" w:fill="FFFFFF"/>
        </w:rPr>
        <w:t>章组织实施</w:t>
      </w:r>
    </w:p>
    <w:p w14:paraId="76173E1F">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第</w:t>
      </w:r>
      <w:r>
        <w:rPr>
          <w:rFonts w:hint="eastAsia" w:ascii="仿宋_GB2312" w:hAnsi="仿宋_GB2312" w:eastAsia="仿宋_GB2312" w:cs="仿宋_GB2312"/>
          <w:b/>
          <w:bCs/>
          <w:sz w:val="32"/>
          <w:szCs w:val="32"/>
          <w:shd w:val="clear" w:color="auto" w:fill="FFFFFF"/>
          <w:lang w:val="en-US" w:eastAsia="zh-CN"/>
        </w:rPr>
        <w:t>五</w:t>
      </w:r>
      <w:r>
        <w:rPr>
          <w:rFonts w:ascii="仿宋_GB2312" w:hAnsi="仿宋_GB2312" w:eastAsia="仿宋_GB2312" w:cs="仿宋_GB2312"/>
          <w:b/>
          <w:bCs/>
          <w:sz w:val="32"/>
          <w:szCs w:val="32"/>
          <w:shd w:val="clear" w:color="auto" w:fill="FFFFFF"/>
        </w:rPr>
        <w:t>条【责任划分】</w:t>
      </w:r>
      <w:r>
        <w:rPr>
          <w:rFonts w:ascii="仿宋_GB2312" w:hAnsi="仿宋_GB2312" w:eastAsia="仿宋_GB2312" w:cs="仿宋_GB2312"/>
          <w:sz w:val="32"/>
          <w:szCs w:val="32"/>
          <w:shd w:val="clear" w:color="auto" w:fill="FFFFFF"/>
        </w:rPr>
        <w:t>基础设施的维护责任按以下规定划分：</w:t>
      </w:r>
    </w:p>
    <w:p w14:paraId="3033DB30">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（一）自维部分：</w:t>
      </w:r>
      <w:r>
        <w:rPr>
          <w:rFonts w:ascii="仿宋_GB2312" w:hAnsi="仿宋_GB2312" w:eastAsia="仿宋_GB2312" w:cs="仿宋_GB2312"/>
          <w:sz w:val="32"/>
          <w:szCs w:val="32"/>
          <w:shd w:val="clear" w:color="auto" w:fill="FFFFFF"/>
        </w:rPr>
        <w:t>公共ODF架至</w:t>
      </w:r>
      <w:r>
        <w:rPr>
          <w:rFonts w:hint="eastAsia" w:ascii="仿宋_GB2312" w:hAnsi="仿宋_GB2312" w:eastAsia="仿宋_GB2312" w:cs="仿宋_GB2312"/>
          <w:sz w:val="32"/>
          <w:szCs w:val="32"/>
          <w:shd w:val="clear" w:color="auto" w:fill="FFFFFF"/>
        </w:rPr>
        <w:t>基础电信企业</w:t>
      </w:r>
      <w:r>
        <w:rPr>
          <w:rFonts w:ascii="仿宋_GB2312" w:hAnsi="仿宋_GB2312" w:eastAsia="仿宋_GB2312" w:cs="仿宋_GB2312"/>
          <w:sz w:val="32"/>
          <w:szCs w:val="32"/>
          <w:shd w:val="clear" w:color="auto" w:fill="FFFFFF"/>
        </w:rPr>
        <w:t>ODF架之间的跳纤及上联光缆，作为基础电信企业自有资产，由该基础电信企业独立承担维护责任。</w:t>
      </w:r>
    </w:p>
    <w:p w14:paraId="7030F56E">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（二）用户侧部分：</w:t>
      </w:r>
      <w:r>
        <w:rPr>
          <w:rFonts w:hint="eastAsia" w:ascii="仿宋_GB2312" w:hAnsi="仿宋_GB2312" w:eastAsia="仿宋_GB2312" w:cs="仿宋_GB2312"/>
          <w:sz w:val="32"/>
          <w:szCs w:val="32"/>
          <w:shd w:val="clear" w:color="auto" w:fill="FFFFFF"/>
          <w:lang w:val="en-US" w:eastAsia="zh-CN"/>
        </w:rPr>
        <w:t>由基础电信企业提供的</w:t>
      </w:r>
      <w:r>
        <w:rPr>
          <w:rFonts w:ascii="仿宋_GB2312" w:hAnsi="仿宋_GB2312" w:eastAsia="仿宋_GB2312" w:cs="仿宋_GB2312"/>
          <w:sz w:val="32"/>
          <w:szCs w:val="32"/>
          <w:shd w:val="clear" w:color="auto" w:fill="FFFFFF"/>
        </w:rPr>
        <w:t>用户终端，按照“谁业务、谁维护”的原则，向该用户提供服务的基础电信企业负责维护。</w:t>
      </w:r>
    </w:p>
    <w:p w14:paraId="5926E129">
      <w:pPr>
        <w:pStyle w:val="5"/>
        <w:shd w:val="clear" w:color="auto" w:fill="FFFFFF"/>
        <w:spacing w:line="520" w:lineRule="exact"/>
        <w:ind w:firstLine="643" w:firstLineChars="200"/>
        <w:jc w:val="left"/>
        <w:rPr>
          <w:rFonts w:hint="eastAsia" w:ascii="仿宋_GB2312" w:hAnsi="仿宋_GB2312" w:eastAsia="仿宋_GB2312" w:cs="仿宋_GB2312"/>
          <w:sz w:val="32"/>
          <w:szCs w:val="32"/>
          <w:highlight w:val="none"/>
          <w:shd w:val="clear" w:color="auto" w:fill="FFFFFF"/>
        </w:rPr>
      </w:pPr>
      <w:r>
        <w:rPr>
          <w:rFonts w:ascii="仿宋_GB2312" w:hAnsi="仿宋_GB2312" w:eastAsia="仿宋_GB2312" w:cs="仿宋_GB2312"/>
          <w:b/>
          <w:bCs/>
          <w:sz w:val="32"/>
          <w:szCs w:val="32"/>
          <w:highlight w:val="none"/>
          <w:shd w:val="clear" w:color="auto" w:fill="FFFFFF"/>
        </w:rPr>
        <w:t>（三）共维部分：</w:t>
      </w:r>
      <w:r>
        <w:rPr>
          <w:rFonts w:ascii="仿宋_GB2312" w:hAnsi="仿宋_GB2312" w:eastAsia="仿宋_GB2312" w:cs="仿宋_GB2312"/>
          <w:sz w:val="32"/>
          <w:szCs w:val="32"/>
          <w:highlight w:val="none"/>
          <w:shd w:val="clear" w:color="auto" w:fill="FFFFFF"/>
        </w:rPr>
        <w:t>除前两</w:t>
      </w:r>
      <w:r>
        <w:rPr>
          <w:rFonts w:hint="eastAsia" w:ascii="仿宋_GB2312" w:hAnsi="仿宋_GB2312" w:eastAsia="仿宋_GB2312" w:cs="仿宋_GB2312"/>
          <w:sz w:val="32"/>
          <w:szCs w:val="32"/>
          <w:highlight w:val="none"/>
          <w:shd w:val="clear" w:color="auto" w:fill="FFFFFF"/>
          <w:lang w:val="en-US" w:eastAsia="zh-CN"/>
        </w:rPr>
        <w:t>项</w:t>
      </w:r>
      <w:r>
        <w:rPr>
          <w:rFonts w:ascii="仿宋_GB2312" w:hAnsi="仿宋_GB2312" w:eastAsia="仿宋_GB2312" w:cs="仿宋_GB2312"/>
          <w:sz w:val="32"/>
          <w:szCs w:val="32"/>
          <w:highlight w:val="none"/>
          <w:shd w:val="clear" w:color="auto" w:fill="FFFFFF"/>
        </w:rPr>
        <w:t>规定的自维部分外，由房地产开发企业及其他非基础电信运营企业投资建设的基础设施，统一纳入共同维护范围。</w:t>
      </w:r>
    </w:p>
    <w:p w14:paraId="14824F9F">
      <w:pPr>
        <w:pStyle w:val="5"/>
        <w:shd w:val="clear" w:color="auto" w:fill="FFFFFF"/>
        <w:spacing w:line="520" w:lineRule="exact"/>
        <w:ind w:firstLine="643" w:firstLineChars="200"/>
        <w:jc w:val="left"/>
        <w:rPr>
          <w:rFonts w:hint="eastAsia" w:ascii="仿宋_GB2312" w:hAnsi="仿宋_GB2312" w:eastAsia="仿宋_GB2312" w:cs="仿宋_GB2312"/>
          <w:sz w:val="32"/>
          <w:szCs w:val="32"/>
          <w:highlight w:val="none"/>
          <w:shd w:val="clear" w:color="auto" w:fill="FFFFFF"/>
        </w:rPr>
      </w:pPr>
      <w:r>
        <w:rPr>
          <w:rFonts w:ascii="仿宋_GB2312" w:hAnsi="仿宋_GB2312" w:eastAsia="仿宋_GB2312" w:cs="仿宋_GB2312"/>
          <w:b/>
          <w:bCs/>
          <w:sz w:val="32"/>
          <w:szCs w:val="32"/>
          <w:highlight w:val="none"/>
          <w:shd w:val="clear" w:color="auto" w:fill="FFFFFF"/>
        </w:rPr>
        <w:t>（四）责任底线：</w:t>
      </w:r>
      <w:r>
        <w:rPr>
          <w:rFonts w:ascii="仿宋_GB2312" w:hAnsi="仿宋_GB2312" w:eastAsia="仿宋_GB2312" w:cs="仿宋_GB2312"/>
          <w:sz w:val="32"/>
          <w:szCs w:val="32"/>
          <w:highlight w:val="none"/>
          <w:shd w:val="clear" w:color="auto" w:fill="FFFFFF"/>
        </w:rPr>
        <w:t>各基础电信企业</w:t>
      </w:r>
      <w:r>
        <w:rPr>
          <w:rFonts w:hint="eastAsia" w:ascii="仿宋_GB2312" w:hAnsi="仿宋_GB2312" w:eastAsia="仿宋_GB2312" w:cs="仿宋_GB2312"/>
          <w:sz w:val="32"/>
          <w:szCs w:val="32"/>
          <w:highlight w:val="none"/>
          <w:shd w:val="clear" w:color="auto" w:fill="FFFFFF"/>
        </w:rPr>
        <w:t>应按照本细则确定的维护责任划分，切实履行维护义务。</w:t>
      </w:r>
    </w:p>
    <w:p w14:paraId="04A58B8D">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第</w:t>
      </w:r>
      <w:r>
        <w:rPr>
          <w:rFonts w:hint="eastAsia" w:ascii="仿宋_GB2312" w:hAnsi="仿宋_GB2312" w:eastAsia="仿宋_GB2312" w:cs="仿宋_GB2312"/>
          <w:b/>
          <w:bCs/>
          <w:sz w:val="32"/>
          <w:szCs w:val="32"/>
          <w:shd w:val="clear" w:color="auto" w:fill="FFFFFF"/>
          <w:lang w:val="en-US" w:eastAsia="zh-CN"/>
        </w:rPr>
        <w:t>六</w:t>
      </w:r>
      <w:r>
        <w:rPr>
          <w:rFonts w:ascii="仿宋_GB2312" w:hAnsi="仿宋_GB2312" w:eastAsia="仿宋_GB2312" w:cs="仿宋_GB2312"/>
          <w:b/>
          <w:bCs/>
          <w:sz w:val="32"/>
          <w:szCs w:val="32"/>
          <w:shd w:val="clear" w:color="auto" w:fill="FFFFFF"/>
        </w:rPr>
        <w:t>条【共维模式确定】</w:t>
      </w:r>
      <w:r>
        <w:rPr>
          <w:rFonts w:ascii="仿宋_GB2312" w:hAnsi="仿宋_GB2312" w:eastAsia="仿宋_GB2312" w:cs="仿宋_GB2312"/>
          <w:sz w:val="32"/>
          <w:szCs w:val="32"/>
          <w:shd w:val="clear" w:color="auto" w:fill="FFFFFF"/>
        </w:rPr>
        <w:t>共维部分的具体维护模式（包括但不限于由各基础电信企业分区域包干管护、或共同出资委托第三方专业机构统一维护），由属地通管办牵头，组织相关基础电信企业充分协商后共同确定。</w:t>
      </w:r>
    </w:p>
    <w:p w14:paraId="5DE757BE">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第</w:t>
      </w:r>
      <w:r>
        <w:rPr>
          <w:rFonts w:hint="eastAsia" w:ascii="仿宋_GB2312" w:hAnsi="仿宋_GB2312" w:eastAsia="仿宋_GB2312" w:cs="仿宋_GB2312"/>
          <w:b/>
          <w:bCs/>
          <w:sz w:val="32"/>
          <w:szCs w:val="32"/>
          <w:shd w:val="clear" w:color="auto" w:fill="FFFFFF"/>
          <w:lang w:val="en-US" w:eastAsia="zh-CN"/>
        </w:rPr>
        <w:t>七</w:t>
      </w:r>
      <w:r>
        <w:rPr>
          <w:rFonts w:ascii="仿宋_GB2312" w:hAnsi="仿宋_GB2312" w:eastAsia="仿宋_GB2312" w:cs="仿宋_GB2312"/>
          <w:b/>
          <w:bCs/>
          <w:sz w:val="32"/>
          <w:szCs w:val="32"/>
          <w:shd w:val="clear" w:color="auto" w:fill="FFFFFF"/>
        </w:rPr>
        <w:t>条【共维</w:t>
      </w:r>
      <w:r>
        <w:rPr>
          <w:rFonts w:hint="eastAsia" w:ascii="仿宋_GB2312" w:hAnsi="仿宋_GB2312" w:eastAsia="仿宋_GB2312" w:cs="仿宋_GB2312"/>
          <w:b/>
          <w:bCs/>
          <w:sz w:val="32"/>
          <w:szCs w:val="32"/>
          <w:shd w:val="clear" w:color="auto" w:fill="FFFFFF"/>
        </w:rPr>
        <w:t>方案</w:t>
      </w:r>
      <w:r>
        <w:rPr>
          <w:rFonts w:ascii="仿宋_GB2312" w:hAnsi="仿宋_GB2312" w:eastAsia="仿宋_GB2312" w:cs="仿宋_GB2312"/>
          <w:b/>
          <w:bCs/>
          <w:sz w:val="32"/>
          <w:szCs w:val="32"/>
          <w:shd w:val="clear" w:color="auto" w:fill="FFFFFF"/>
        </w:rPr>
        <w:t>制定】</w:t>
      </w:r>
      <w:r>
        <w:rPr>
          <w:rFonts w:ascii="仿宋_GB2312" w:hAnsi="仿宋_GB2312" w:eastAsia="仿宋_GB2312" w:cs="仿宋_GB2312"/>
          <w:sz w:val="32"/>
          <w:szCs w:val="32"/>
          <w:shd w:val="clear" w:color="auto" w:fill="FFFFFF"/>
        </w:rPr>
        <w:t>对于共维部分，属地通管办应根据本细则，</w:t>
      </w:r>
      <w:r>
        <w:rPr>
          <w:rFonts w:hint="eastAsia" w:ascii="仿宋_GB2312" w:hAnsi="仿宋_GB2312" w:eastAsia="仿宋_GB2312" w:cs="仿宋_GB2312"/>
          <w:sz w:val="32"/>
          <w:szCs w:val="32"/>
          <w:shd w:val="clear" w:color="auto" w:fill="FFFFFF"/>
        </w:rPr>
        <w:t>统筹</w:t>
      </w:r>
      <w:r>
        <w:rPr>
          <w:rFonts w:ascii="仿宋_GB2312" w:hAnsi="仿宋_GB2312" w:eastAsia="仿宋_GB2312" w:cs="仿宋_GB2312"/>
          <w:sz w:val="32"/>
          <w:szCs w:val="32"/>
          <w:shd w:val="clear" w:color="auto" w:fill="FFFFFF"/>
        </w:rPr>
        <w:t>基础电信企业制定具体的共维实施</w:t>
      </w:r>
      <w:r>
        <w:rPr>
          <w:rFonts w:hint="eastAsia" w:ascii="仿宋_GB2312" w:hAnsi="仿宋_GB2312" w:eastAsia="仿宋_GB2312" w:cs="仿宋_GB2312"/>
          <w:sz w:val="32"/>
          <w:szCs w:val="32"/>
          <w:shd w:val="clear" w:color="auto" w:fill="FFFFFF"/>
        </w:rPr>
        <w:t>方案</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方案</w:t>
      </w:r>
      <w:r>
        <w:rPr>
          <w:rFonts w:ascii="仿宋_GB2312" w:hAnsi="仿宋_GB2312" w:eastAsia="仿宋_GB2312" w:cs="仿宋_GB2312"/>
          <w:sz w:val="32"/>
          <w:szCs w:val="32"/>
          <w:shd w:val="clear" w:color="auto" w:fill="FFFFFF"/>
        </w:rPr>
        <w:t>应明确工作标准、作业流程、费用分摊机制、考核办法等具体内容。经各方协商一致后，由通管办发布执行，并报省通信管理局备案。若协商未能达成一致，</w:t>
      </w:r>
      <w:r>
        <w:rPr>
          <w:rFonts w:hint="eastAsia" w:ascii="仿宋_GB2312" w:hAnsi="仿宋_GB2312" w:eastAsia="仿宋_GB2312" w:cs="仿宋_GB2312"/>
          <w:sz w:val="32"/>
          <w:szCs w:val="32"/>
          <w:shd w:val="clear" w:color="auto" w:fill="FFFFFF"/>
        </w:rPr>
        <w:t>由通管办报请省通信管理局协调解决。</w:t>
      </w:r>
    </w:p>
    <w:p w14:paraId="0D59B8DE">
      <w:pPr>
        <w:pStyle w:val="5"/>
        <w:keepNext w:val="0"/>
        <w:keepLines w:val="0"/>
        <w:pageBreakBefore w:val="0"/>
        <w:widowControl w:val="0"/>
        <w:shd w:val="clear" w:color="auto" w:fill="FFFFFF"/>
        <w:kinsoku/>
        <w:wordWrap/>
        <w:overflowPunct/>
        <w:topLinePunct w:val="0"/>
        <w:autoSpaceDE/>
        <w:autoSpaceDN/>
        <w:bidi w:val="0"/>
        <w:adjustRightInd/>
        <w:snapToGrid/>
        <w:spacing w:before="0" w:beforeLines="100" w:after="0" w:afterLines="100" w:line="520" w:lineRule="exact"/>
        <w:ind w:left="0" w:leftChars="0" w:right="0" w:rightChars="0"/>
        <w:jc w:val="center"/>
        <w:textAlignment w:val="auto"/>
        <w:rPr>
          <w:rStyle w:val="8"/>
          <w:rFonts w:hint="eastAsia" w:ascii="仿宋_GB2312" w:hAnsi="仿宋_GB2312" w:eastAsia="仿宋_GB2312" w:cs="仿宋_GB2312"/>
          <w:bCs/>
          <w:sz w:val="32"/>
          <w:szCs w:val="32"/>
          <w:shd w:val="clear" w:color="auto" w:fill="FFFFFF"/>
        </w:rPr>
      </w:pPr>
      <w:r>
        <w:rPr>
          <w:rStyle w:val="8"/>
          <w:rFonts w:ascii="仿宋_GB2312" w:hAnsi="仿宋_GB2312" w:eastAsia="仿宋_GB2312" w:cs="仿宋_GB2312"/>
          <w:bCs/>
          <w:sz w:val="32"/>
          <w:szCs w:val="32"/>
          <w:shd w:val="clear" w:color="auto" w:fill="FFFFFF"/>
        </w:rPr>
        <w:t>第三章</w:t>
      </w:r>
      <w:r>
        <w:rPr>
          <w:rStyle w:val="8"/>
          <w:rFonts w:hint="eastAsia" w:ascii="仿宋_GB2312" w:hAnsi="仿宋_GB2312" w:eastAsia="仿宋_GB2312" w:cs="仿宋_GB2312"/>
          <w:bCs/>
          <w:sz w:val="32"/>
          <w:szCs w:val="32"/>
          <w:shd w:val="clear" w:color="auto" w:fill="FFFFFF"/>
        </w:rPr>
        <w:t>保障措施</w:t>
      </w:r>
    </w:p>
    <w:p w14:paraId="59971CBB">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第</w:t>
      </w:r>
      <w:r>
        <w:rPr>
          <w:rFonts w:hint="eastAsia" w:ascii="仿宋_GB2312" w:hAnsi="仿宋_GB2312" w:eastAsia="仿宋_GB2312" w:cs="仿宋_GB2312"/>
          <w:b/>
          <w:bCs/>
          <w:sz w:val="32"/>
          <w:szCs w:val="32"/>
          <w:shd w:val="clear" w:color="auto" w:fill="FFFFFF"/>
          <w:lang w:val="en-US" w:eastAsia="zh-CN"/>
        </w:rPr>
        <w:t>八</w:t>
      </w:r>
      <w:r>
        <w:rPr>
          <w:rFonts w:ascii="仿宋_GB2312" w:hAnsi="仿宋_GB2312" w:eastAsia="仿宋_GB2312" w:cs="仿宋_GB2312"/>
          <w:b/>
          <w:bCs/>
          <w:sz w:val="32"/>
          <w:szCs w:val="32"/>
          <w:shd w:val="clear" w:color="auto" w:fill="FFFFFF"/>
        </w:rPr>
        <w:t>条【</w:t>
      </w:r>
      <w:r>
        <w:rPr>
          <w:rFonts w:hint="eastAsia" w:ascii="仿宋_GB2312" w:hAnsi="仿宋_GB2312" w:eastAsia="仿宋_GB2312" w:cs="仿宋_GB2312"/>
          <w:b/>
          <w:bCs/>
          <w:sz w:val="32"/>
          <w:szCs w:val="32"/>
          <w:shd w:val="clear" w:color="auto" w:fill="FFFFFF"/>
        </w:rPr>
        <w:t>加强监管</w:t>
      </w:r>
      <w:r>
        <w:rPr>
          <w:rFonts w:ascii="仿宋_GB2312" w:hAnsi="仿宋_GB2312" w:eastAsia="仿宋_GB2312" w:cs="仿宋_GB2312"/>
          <w:b/>
          <w:bCs/>
          <w:sz w:val="32"/>
          <w:szCs w:val="32"/>
          <w:shd w:val="clear" w:color="auto" w:fill="FFFFFF"/>
        </w:rPr>
        <w:t>】</w:t>
      </w:r>
      <w:r>
        <w:rPr>
          <w:rFonts w:ascii="仿宋_GB2312" w:hAnsi="仿宋_GB2312" w:eastAsia="仿宋_GB2312" w:cs="仿宋_GB2312"/>
          <w:sz w:val="32"/>
          <w:szCs w:val="32"/>
          <w:shd w:val="clear" w:color="auto" w:fill="FFFFFF"/>
        </w:rPr>
        <w:t>通管办负责监督本细则及共维</w:t>
      </w:r>
      <w:r>
        <w:rPr>
          <w:rFonts w:hint="eastAsia" w:ascii="仿宋_GB2312" w:hAnsi="仿宋_GB2312" w:eastAsia="仿宋_GB2312" w:cs="仿宋_GB2312"/>
          <w:sz w:val="32"/>
          <w:szCs w:val="32"/>
          <w:shd w:val="clear" w:color="auto" w:fill="FFFFFF"/>
        </w:rPr>
        <w:t>共维方案</w:t>
      </w:r>
      <w:r>
        <w:rPr>
          <w:rFonts w:ascii="仿宋_GB2312" w:hAnsi="仿宋_GB2312" w:eastAsia="仿宋_GB2312" w:cs="仿宋_GB2312"/>
          <w:sz w:val="32"/>
          <w:szCs w:val="32"/>
          <w:shd w:val="clear" w:color="auto" w:fill="FFFFFF"/>
        </w:rPr>
        <w:t>的落实，应建立常态化检查机制，并</w:t>
      </w:r>
      <w:r>
        <w:rPr>
          <w:rFonts w:hint="eastAsia" w:ascii="仿宋_GB2312" w:hAnsi="仿宋_GB2312" w:eastAsia="仿宋_GB2312" w:cs="仿宋_GB2312"/>
          <w:sz w:val="32"/>
          <w:szCs w:val="32"/>
          <w:shd w:val="clear" w:color="auto" w:fill="FFFFFF"/>
        </w:rPr>
        <w:t>每季度</w:t>
      </w:r>
      <w:r>
        <w:rPr>
          <w:rFonts w:ascii="仿宋_GB2312" w:hAnsi="仿宋_GB2312" w:eastAsia="仿宋_GB2312" w:cs="仿宋_GB2312"/>
          <w:sz w:val="32"/>
          <w:szCs w:val="32"/>
          <w:shd w:val="clear" w:color="auto" w:fill="FFFFFF"/>
        </w:rPr>
        <w:t>向省通信管理局报告</w:t>
      </w:r>
      <w:r>
        <w:rPr>
          <w:rFonts w:hint="eastAsia" w:ascii="仿宋_GB2312" w:hAnsi="仿宋_GB2312" w:eastAsia="仿宋_GB2312" w:cs="仿宋_GB2312"/>
          <w:sz w:val="32"/>
          <w:szCs w:val="32"/>
          <w:shd w:val="clear" w:color="auto" w:fill="FFFFFF"/>
        </w:rPr>
        <w:t>属地</w:t>
      </w:r>
      <w:r>
        <w:rPr>
          <w:rFonts w:ascii="仿宋_GB2312" w:hAnsi="仿宋_GB2312" w:eastAsia="仿宋_GB2312" w:cs="仿宋_GB2312"/>
          <w:sz w:val="32"/>
          <w:szCs w:val="32"/>
          <w:shd w:val="clear" w:color="auto" w:fill="FFFFFF"/>
        </w:rPr>
        <w:t>基础设施</w:t>
      </w:r>
      <w:r>
        <w:rPr>
          <w:rFonts w:hint="eastAsia" w:ascii="仿宋_GB2312" w:hAnsi="仿宋_GB2312" w:eastAsia="仿宋_GB2312" w:cs="仿宋_GB2312"/>
          <w:sz w:val="32"/>
          <w:szCs w:val="32"/>
          <w:shd w:val="clear" w:color="auto" w:fill="FFFFFF"/>
        </w:rPr>
        <w:t>维护</w:t>
      </w:r>
      <w:r>
        <w:rPr>
          <w:rFonts w:ascii="仿宋_GB2312" w:hAnsi="仿宋_GB2312" w:eastAsia="仿宋_GB2312" w:cs="仿宋_GB2312"/>
          <w:sz w:val="32"/>
          <w:szCs w:val="32"/>
          <w:shd w:val="clear" w:color="auto" w:fill="FFFFFF"/>
        </w:rPr>
        <w:t>管理工作情况及基础电信企业履行主体责任的情况。</w:t>
      </w:r>
    </w:p>
    <w:p w14:paraId="191981EB">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第</w:t>
      </w:r>
      <w:r>
        <w:rPr>
          <w:rFonts w:hint="eastAsia" w:ascii="仿宋_GB2312" w:hAnsi="仿宋_GB2312" w:eastAsia="仿宋_GB2312" w:cs="仿宋_GB2312"/>
          <w:b/>
          <w:bCs/>
          <w:sz w:val="32"/>
          <w:szCs w:val="32"/>
          <w:shd w:val="clear" w:color="auto" w:fill="FFFFFF"/>
          <w:lang w:val="en-US" w:eastAsia="zh-CN"/>
        </w:rPr>
        <w:t>九</w:t>
      </w:r>
      <w:r>
        <w:rPr>
          <w:rFonts w:ascii="仿宋_GB2312" w:hAnsi="仿宋_GB2312" w:eastAsia="仿宋_GB2312" w:cs="仿宋_GB2312"/>
          <w:b/>
          <w:bCs/>
          <w:sz w:val="32"/>
          <w:szCs w:val="32"/>
          <w:shd w:val="clear" w:color="auto" w:fill="FFFFFF"/>
        </w:rPr>
        <w:t>条【</w:t>
      </w:r>
      <w:bookmarkStart w:id="5" w:name="OLE_LINK5"/>
      <w:r>
        <w:rPr>
          <w:rFonts w:hint="eastAsia" w:ascii="仿宋_GB2312" w:hAnsi="仿宋_GB2312" w:eastAsia="仿宋_GB2312" w:cs="仿宋_GB2312"/>
          <w:b/>
          <w:bCs/>
          <w:sz w:val="32"/>
          <w:szCs w:val="32"/>
          <w:shd w:val="clear" w:color="auto" w:fill="FFFFFF"/>
        </w:rPr>
        <w:t>压实防护责任</w:t>
      </w:r>
      <w:bookmarkEnd w:id="5"/>
      <w:r>
        <w:rPr>
          <w:rFonts w:ascii="仿宋_GB2312" w:hAnsi="仿宋_GB2312" w:eastAsia="仿宋_GB2312" w:cs="仿宋_GB2312"/>
          <w:b/>
          <w:bCs/>
          <w:sz w:val="32"/>
          <w:szCs w:val="32"/>
          <w:shd w:val="clear" w:color="auto" w:fill="FFFFFF"/>
        </w:rPr>
        <w:t>】</w:t>
      </w:r>
      <w:r>
        <w:rPr>
          <w:rFonts w:ascii="仿宋_GB2312" w:hAnsi="仿宋_GB2312" w:eastAsia="仿宋_GB2312" w:cs="仿宋_GB2312"/>
          <w:sz w:val="32"/>
          <w:szCs w:val="32"/>
          <w:shd w:val="clear" w:color="auto" w:fill="FFFFFF"/>
        </w:rPr>
        <w:t>基础电信企业应履行以下网络安全防护职责：</w:t>
      </w:r>
    </w:p>
    <w:p w14:paraId="63A83E11">
      <w:pPr>
        <w:pStyle w:val="5"/>
        <w:shd w:val="clear" w:color="auto" w:fill="FFFFFF"/>
        <w:spacing w:line="520" w:lineRule="exact"/>
        <w:ind w:firstLine="640"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（一）确保基础设施的物理安全，严防人为破坏，坚决杜绝擅自中断用户通信的行为。</w:t>
      </w:r>
    </w:p>
    <w:p w14:paraId="72D89966">
      <w:pPr>
        <w:pStyle w:val="5"/>
        <w:shd w:val="clear" w:color="auto" w:fill="FFFFFF"/>
        <w:spacing w:line="520" w:lineRule="exact"/>
        <w:ind w:firstLine="640"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（二）建立并落实实时监控和安全防护措施，保障网络信息安全，防止非法侵入。</w:t>
      </w:r>
    </w:p>
    <w:p w14:paraId="5EDFEDB2">
      <w:pPr>
        <w:pStyle w:val="5"/>
        <w:shd w:val="clear" w:color="auto" w:fill="FFFFFF"/>
        <w:spacing w:line="520" w:lineRule="exact"/>
        <w:ind w:firstLine="640"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（三）加强机房环境安全管理，定期排查并及时消除安全隐患。</w:t>
      </w:r>
    </w:p>
    <w:p w14:paraId="1E5A7CC5">
      <w:pPr>
        <w:pStyle w:val="5"/>
        <w:shd w:val="clear" w:color="auto" w:fill="FFFFFF"/>
        <w:spacing w:line="520" w:lineRule="exact"/>
        <w:ind w:firstLine="640"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（四）遵守法律法规，积极配合通信管理部门、公安机关查处破坏通信设施的违法行为。</w:t>
      </w:r>
    </w:p>
    <w:p w14:paraId="283F735D">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第</w:t>
      </w:r>
      <w:r>
        <w:rPr>
          <w:rFonts w:hint="eastAsia" w:ascii="仿宋_GB2312" w:hAnsi="仿宋_GB2312" w:eastAsia="仿宋_GB2312" w:cs="仿宋_GB2312"/>
          <w:b/>
          <w:bCs/>
          <w:sz w:val="32"/>
          <w:szCs w:val="32"/>
          <w:shd w:val="clear" w:color="auto" w:fill="FFFFFF"/>
          <w:lang w:val="en-US" w:eastAsia="zh-CN"/>
        </w:rPr>
        <w:t>十</w:t>
      </w:r>
      <w:r>
        <w:rPr>
          <w:rFonts w:ascii="仿宋_GB2312" w:hAnsi="仿宋_GB2312" w:eastAsia="仿宋_GB2312" w:cs="仿宋_GB2312"/>
          <w:b/>
          <w:bCs/>
          <w:sz w:val="32"/>
          <w:szCs w:val="32"/>
          <w:shd w:val="clear" w:color="auto" w:fill="FFFFFF"/>
        </w:rPr>
        <w:t>条【</w:t>
      </w:r>
      <w:r>
        <w:rPr>
          <w:rFonts w:hint="eastAsia" w:ascii="仿宋_GB2312" w:hAnsi="仿宋_GB2312" w:eastAsia="仿宋_GB2312" w:cs="仿宋_GB2312"/>
          <w:b/>
          <w:bCs/>
          <w:sz w:val="32"/>
          <w:szCs w:val="32"/>
          <w:shd w:val="clear" w:color="auto" w:fill="FFFFFF"/>
        </w:rPr>
        <w:t>压实维护责任</w:t>
      </w:r>
      <w:r>
        <w:rPr>
          <w:rFonts w:ascii="仿宋_GB2312" w:hAnsi="仿宋_GB2312" w:eastAsia="仿宋_GB2312" w:cs="仿宋_GB2312"/>
          <w:b/>
          <w:bCs/>
          <w:sz w:val="32"/>
          <w:szCs w:val="32"/>
          <w:shd w:val="clear" w:color="auto" w:fill="FFFFFF"/>
        </w:rPr>
        <w:t>】</w:t>
      </w:r>
      <w:r>
        <w:rPr>
          <w:rFonts w:ascii="仿宋_GB2312" w:hAnsi="仿宋_GB2312" w:eastAsia="仿宋_GB2312" w:cs="仿宋_GB2312"/>
          <w:sz w:val="32"/>
          <w:szCs w:val="32"/>
          <w:shd w:val="clear" w:color="auto" w:fill="FFFFFF"/>
        </w:rPr>
        <w:t>基础电信企业应履行以下维护职责：</w:t>
      </w:r>
    </w:p>
    <w:p w14:paraId="284C4B64">
      <w:pPr>
        <w:pStyle w:val="5"/>
        <w:shd w:val="clear" w:color="auto" w:fill="FFFFFF"/>
        <w:spacing w:line="520" w:lineRule="exact"/>
        <w:ind w:firstLine="640"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（一）建立高标准、规范化的维护体系，制定并执行基础设施的日常维护、</w:t>
      </w:r>
      <w:r>
        <w:rPr>
          <w:rFonts w:hint="default" w:ascii="Times New Roman" w:hAnsi="Times New Roman" w:eastAsia="仿宋_GB2312" w:cs="Times New Roman"/>
          <w:sz w:val="32"/>
          <w:szCs w:val="32"/>
          <w:shd w:val="clear" w:color="auto" w:fill="FFFFFF"/>
        </w:rPr>
        <w:t>7×24</w:t>
      </w:r>
      <w:r>
        <w:rPr>
          <w:rFonts w:ascii="仿宋_GB2312" w:hAnsi="仿宋_GB2312" w:eastAsia="仿宋_GB2312" w:cs="仿宋_GB2312"/>
          <w:sz w:val="32"/>
          <w:szCs w:val="32"/>
          <w:shd w:val="clear" w:color="auto" w:fill="FFFFFF"/>
        </w:rPr>
        <w:t>小时应急抢修和通信保障流程。</w:t>
      </w:r>
    </w:p>
    <w:p w14:paraId="7F76C41B">
      <w:pPr>
        <w:pStyle w:val="5"/>
        <w:shd w:val="clear" w:color="auto" w:fill="FFFFFF"/>
        <w:spacing w:line="520" w:lineRule="exact"/>
        <w:ind w:firstLine="640"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（二）负责基础设施及相关配套设备的日常巡查、定期检修、故障抢修、机房管理、环境保洁、标识更新、安全隐患整治等具体工作。</w:t>
      </w:r>
    </w:p>
    <w:p w14:paraId="739C2BA2">
      <w:pPr>
        <w:pStyle w:val="5"/>
        <w:shd w:val="clear" w:color="auto" w:fill="FFFFFF"/>
        <w:spacing w:line="520" w:lineRule="exact"/>
        <w:ind w:firstLine="640"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（三）动态监控管线资源容量，及时提出预警并按规范清理废旧设施，积极配合设施的调整、迁改或大修改造工程。</w:t>
      </w:r>
    </w:p>
    <w:p w14:paraId="230840DF">
      <w:pPr>
        <w:pStyle w:val="5"/>
        <w:shd w:val="clear" w:color="auto" w:fill="FFFFFF"/>
        <w:spacing w:line="520" w:lineRule="exact"/>
        <w:ind w:firstLine="640"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（四）规范自身施工和维护行为，对因操作不当导致其他基础电信企业网络故障或影响业务及时开通、修复的，承担相应责任。</w:t>
      </w:r>
    </w:p>
    <w:p w14:paraId="1071656A">
      <w:pPr>
        <w:pStyle w:val="5"/>
        <w:shd w:val="clear" w:color="auto" w:fill="FFFFFF"/>
        <w:spacing w:line="520" w:lineRule="exact"/>
        <w:ind w:firstLine="640"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（五）</w:t>
      </w:r>
      <w:r>
        <w:rPr>
          <w:rFonts w:hint="eastAsia" w:ascii="仿宋_GB2312" w:hAnsi="仿宋_GB2312" w:eastAsia="仿宋_GB2312" w:cs="仿宋_GB2312"/>
          <w:sz w:val="32"/>
          <w:szCs w:val="32"/>
          <w:shd w:val="clear" w:color="auto" w:fill="FFFFFF"/>
        </w:rPr>
        <w:t>共维部分的通信设施</w:t>
      </w:r>
      <w:r>
        <w:rPr>
          <w:rFonts w:hint="eastAsia" w:ascii="仿宋_GB2312" w:hAnsi="仿宋_GB2312" w:eastAsia="仿宋_GB2312" w:cs="仿宋_GB2312"/>
          <w:sz w:val="32"/>
          <w:szCs w:val="32"/>
          <w:shd w:val="clear" w:color="auto" w:fill="FFFFFF"/>
          <w:lang w:val="en-US" w:eastAsia="zh-CN"/>
        </w:rPr>
        <w:t>有</w:t>
      </w:r>
      <w:r>
        <w:rPr>
          <w:rFonts w:hint="eastAsia" w:ascii="仿宋_GB2312" w:hAnsi="仿宋_GB2312" w:eastAsia="仿宋_GB2312" w:cs="仿宋_GB2312"/>
          <w:sz w:val="32"/>
          <w:szCs w:val="32"/>
          <w:shd w:val="clear" w:color="auto" w:fill="FFFFFF"/>
        </w:rPr>
        <w:t>迁移或改动</w:t>
      </w:r>
      <w:r>
        <w:rPr>
          <w:rFonts w:hint="eastAsia" w:ascii="仿宋_GB2312" w:hAnsi="仿宋_GB2312" w:eastAsia="仿宋_GB2312" w:cs="仿宋_GB2312"/>
          <w:sz w:val="32"/>
          <w:szCs w:val="32"/>
          <w:shd w:val="clear" w:color="auto" w:fill="FFFFFF"/>
          <w:lang w:val="en-US" w:eastAsia="zh-CN"/>
        </w:rPr>
        <w:t>情况</w:t>
      </w:r>
      <w:r>
        <w:rPr>
          <w:rFonts w:hint="eastAsia" w:ascii="仿宋_GB2312" w:hAnsi="仿宋_GB2312" w:eastAsia="仿宋_GB2312" w:cs="仿宋_GB2312"/>
          <w:sz w:val="32"/>
          <w:szCs w:val="32"/>
          <w:shd w:val="clear" w:color="auto" w:fill="FFFFFF"/>
        </w:rPr>
        <w:t>，应事先告知属地通管办。</w:t>
      </w:r>
    </w:p>
    <w:p w14:paraId="5C907AE7">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第十</w:t>
      </w:r>
      <w:r>
        <w:rPr>
          <w:rFonts w:hint="eastAsia" w:ascii="仿宋_GB2312" w:hAnsi="仿宋_GB2312" w:eastAsia="仿宋_GB2312" w:cs="仿宋_GB2312"/>
          <w:b/>
          <w:bCs/>
          <w:sz w:val="32"/>
          <w:szCs w:val="32"/>
          <w:shd w:val="clear" w:color="auto" w:fill="FFFFFF"/>
          <w:lang w:val="en-US" w:eastAsia="zh-CN"/>
        </w:rPr>
        <w:t>一</w:t>
      </w:r>
      <w:r>
        <w:rPr>
          <w:rFonts w:ascii="仿宋_GB2312" w:hAnsi="仿宋_GB2312" w:eastAsia="仿宋_GB2312" w:cs="仿宋_GB2312"/>
          <w:b/>
          <w:bCs/>
          <w:sz w:val="32"/>
          <w:szCs w:val="32"/>
          <w:shd w:val="clear" w:color="auto" w:fill="FFFFFF"/>
        </w:rPr>
        <w:t>条【</w:t>
      </w:r>
      <w:r>
        <w:rPr>
          <w:rFonts w:hint="eastAsia" w:ascii="仿宋_GB2312" w:hAnsi="仿宋_GB2312" w:eastAsia="仿宋_GB2312" w:cs="仿宋_GB2312"/>
          <w:b/>
          <w:bCs/>
          <w:sz w:val="32"/>
          <w:szCs w:val="32"/>
          <w:shd w:val="clear" w:color="auto" w:fill="FFFFFF"/>
        </w:rPr>
        <w:t>加强协作</w:t>
      </w:r>
      <w:r>
        <w:rPr>
          <w:rFonts w:ascii="仿宋_GB2312" w:hAnsi="仿宋_GB2312" w:eastAsia="仿宋_GB2312" w:cs="仿宋_GB2312"/>
          <w:b/>
          <w:bCs/>
          <w:sz w:val="32"/>
          <w:szCs w:val="32"/>
          <w:shd w:val="clear" w:color="auto" w:fill="FFFFFF"/>
        </w:rPr>
        <w:t>】</w:t>
      </w:r>
      <w:r>
        <w:rPr>
          <w:rFonts w:ascii="仿宋_GB2312" w:hAnsi="仿宋_GB2312" w:eastAsia="仿宋_GB2312" w:cs="仿宋_GB2312"/>
          <w:sz w:val="32"/>
          <w:szCs w:val="32"/>
          <w:shd w:val="clear" w:color="auto" w:fill="FFFFFF"/>
        </w:rPr>
        <w:t>基础电信企业应履行以下服务与协作职责：</w:t>
      </w:r>
    </w:p>
    <w:p w14:paraId="6557605A">
      <w:pPr>
        <w:pStyle w:val="5"/>
        <w:shd w:val="clear" w:color="auto" w:fill="FFFFFF"/>
        <w:spacing w:line="520" w:lineRule="exact"/>
        <w:ind w:firstLine="640"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（一）主动协调物业服务企业，抵制乱收费、强制垄断等违规行为，维护所有基础电信企业平等接入</w:t>
      </w:r>
      <w:r>
        <w:rPr>
          <w:rFonts w:hint="eastAsia" w:ascii="仿宋_GB2312" w:hAnsi="仿宋_GB2312" w:eastAsia="仿宋_GB2312" w:cs="仿宋_GB2312"/>
          <w:sz w:val="32"/>
          <w:szCs w:val="32"/>
          <w:shd w:val="clear" w:color="auto" w:fill="FFFFFF"/>
          <w:lang w:val="en-US" w:eastAsia="zh-CN"/>
        </w:rPr>
        <w:t>权利，</w:t>
      </w:r>
      <w:r>
        <w:rPr>
          <w:rFonts w:ascii="仿宋_GB2312" w:hAnsi="仿宋_GB2312" w:eastAsia="仿宋_GB2312" w:cs="仿宋_GB2312"/>
          <w:sz w:val="32"/>
          <w:szCs w:val="32"/>
          <w:shd w:val="clear" w:color="auto" w:fill="FFFFFF"/>
        </w:rPr>
        <w:t>用户的选择</w:t>
      </w:r>
      <w:r>
        <w:rPr>
          <w:rFonts w:hint="eastAsia" w:ascii="仿宋_GB2312" w:hAnsi="仿宋_GB2312" w:eastAsia="仿宋_GB2312" w:cs="仿宋_GB2312"/>
          <w:sz w:val="32"/>
          <w:szCs w:val="32"/>
          <w:shd w:val="clear" w:color="auto" w:fill="FFFFFF"/>
          <w:lang w:val="en-US" w:eastAsia="zh-CN"/>
        </w:rPr>
        <w:t>宽带运营企业的权利</w:t>
      </w:r>
      <w:r>
        <w:rPr>
          <w:rFonts w:ascii="仿宋_GB2312" w:hAnsi="仿宋_GB2312" w:eastAsia="仿宋_GB2312" w:cs="仿宋_GB2312"/>
          <w:sz w:val="32"/>
          <w:szCs w:val="32"/>
          <w:shd w:val="clear" w:color="auto" w:fill="FFFFFF"/>
        </w:rPr>
        <w:t>。</w:t>
      </w:r>
    </w:p>
    <w:p w14:paraId="13DF0A2E">
      <w:pPr>
        <w:pStyle w:val="5"/>
        <w:shd w:val="clear" w:color="auto" w:fill="FFFFFF"/>
        <w:spacing w:line="520" w:lineRule="exact"/>
        <w:ind w:firstLine="640"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（二）自觉遵守小区管理规定，文明施工，维护行业良好形象。</w:t>
      </w:r>
    </w:p>
    <w:p w14:paraId="1681FB3F">
      <w:pPr>
        <w:pStyle w:val="5"/>
        <w:shd w:val="clear" w:color="auto" w:fill="FFFFFF"/>
        <w:spacing w:line="520" w:lineRule="exact"/>
        <w:ind w:firstLine="640"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（三）配合行业主管部门打击非法宽带接入行为，</w:t>
      </w:r>
      <w:r>
        <w:rPr>
          <w:rFonts w:hint="eastAsia" w:ascii="仿宋_GB2312" w:hAnsi="仿宋_GB2312" w:eastAsia="仿宋_GB2312" w:cs="仿宋_GB2312"/>
          <w:sz w:val="32"/>
          <w:szCs w:val="32"/>
          <w:shd w:val="clear" w:color="auto" w:fill="FFFFFF"/>
        </w:rPr>
        <w:t>发现后及时报告通信管理部门或公安机关并配合以上部门予以清理</w:t>
      </w:r>
      <w:r>
        <w:rPr>
          <w:rFonts w:ascii="仿宋_GB2312" w:hAnsi="仿宋_GB2312" w:eastAsia="仿宋_GB2312" w:cs="仿宋_GB2312"/>
          <w:sz w:val="32"/>
          <w:szCs w:val="32"/>
          <w:shd w:val="clear" w:color="auto" w:fill="FFFFFF"/>
        </w:rPr>
        <w:t>。</w:t>
      </w:r>
    </w:p>
    <w:p w14:paraId="694C50CC">
      <w:pPr>
        <w:pStyle w:val="5"/>
        <w:shd w:val="clear" w:color="auto" w:fill="FFFFFF"/>
        <w:spacing w:line="520" w:lineRule="exact"/>
        <w:ind w:firstLine="640"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sz w:val="32"/>
          <w:szCs w:val="32"/>
          <w:shd w:val="clear" w:color="auto" w:fill="FFFFFF"/>
        </w:rPr>
        <w:t>（四）加强政策宣传，推动物业服务企业在公共区域公示通信法律法规要点。</w:t>
      </w:r>
    </w:p>
    <w:p w14:paraId="2FC49247">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第十</w:t>
      </w:r>
      <w:r>
        <w:rPr>
          <w:rFonts w:hint="eastAsia" w:ascii="仿宋_GB2312" w:hAnsi="仿宋_GB2312" w:eastAsia="仿宋_GB2312" w:cs="仿宋_GB2312"/>
          <w:b/>
          <w:bCs/>
          <w:sz w:val="32"/>
          <w:szCs w:val="32"/>
          <w:shd w:val="clear" w:color="auto" w:fill="FFFFFF"/>
          <w:lang w:val="en-US" w:eastAsia="zh-CN"/>
        </w:rPr>
        <w:t>二</w:t>
      </w:r>
      <w:r>
        <w:rPr>
          <w:rFonts w:ascii="仿宋_GB2312" w:hAnsi="仿宋_GB2312" w:eastAsia="仿宋_GB2312" w:cs="仿宋_GB2312"/>
          <w:b/>
          <w:bCs/>
          <w:sz w:val="32"/>
          <w:szCs w:val="32"/>
          <w:shd w:val="clear" w:color="auto" w:fill="FFFFFF"/>
        </w:rPr>
        <w:t>条【</w:t>
      </w:r>
      <w:r>
        <w:rPr>
          <w:rFonts w:hint="eastAsia" w:ascii="仿宋_GB2312" w:hAnsi="仿宋_GB2312" w:eastAsia="仿宋_GB2312" w:cs="仿宋_GB2312"/>
          <w:b/>
          <w:bCs/>
          <w:sz w:val="32"/>
          <w:szCs w:val="32"/>
          <w:shd w:val="clear" w:color="auto" w:fill="FFFFFF"/>
        </w:rPr>
        <w:t>加大支持</w:t>
      </w:r>
      <w:r>
        <w:rPr>
          <w:rFonts w:ascii="仿宋_GB2312" w:hAnsi="仿宋_GB2312" w:eastAsia="仿宋_GB2312" w:cs="仿宋_GB2312"/>
          <w:b/>
          <w:bCs/>
          <w:sz w:val="32"/>
          <w:szCs w:val="32"/>
          <w:shd w:val="clear" w:color="auto" w:fill="FFFFFF"/>
        </w:rPr>
        <w:t>】</w:t>
      </w:r>
      <w:r>
        <w:rPr>
          <w:rFonts w:ascii="仿宋_GB2312" w:hAnsi="仿宋_GB2312" w:eastAsia="仿宋_GB2312" w:cs="仿宋_GB2312"/>
          <w:sz w:val="32"/>
          <w:szCs w:val="32"/>
          <w:shd w:val="clear" w:color="auto" w:fill="FFFFFF"/>
        </w:rPr>
        <w:t>各基础电信企业的省级公司应为州</w:t>
      </w: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市</w:t>
      </w: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分公司履行本细则提供必要的政策、资金、技术及人员保障，确保</w:t>
      </w:r>
      <w:r>
        <w:rPr>
          <w:rFonts w:hint="eastAsia" w:ascii="仿宋_GB2312" w:hAnsi="仿宋_GB2312" w:eastAsia="仿宋_GB2312" w:cs="仿宋_GB2312"/>
          <w:sz w:val="32"/>
          <w:szCs w:val="32"/>
          <w:shd w:val="clear" w:color="auto" w:fill="FFFFFF"/>
        </w:rPr>
        <w:t>基础设施维护</w:t>
      </w:r>
      <w:r>
        <w:rPr>
          <w:rFonts w:ascii="仿宋_GB2312" w:hAnsi="仿宋_GB2312" w:eastAsia="仿宋_GB2312" w:cs="仿宋_GB2312"/>
          <w:sz w:val="32"/>
          <w:szCs w:val="32"/>
          <w:shd w:val="clear" w:color="auto" w:fill="FFFFFF"/>
        </w:rPr>
        <w:t>工作规范、有序开展。</w:t>
      </w:r>
    </w:p>
    <w:p w14:paraId="7B5638FE">
      <w:pPr>
        <w:pStyle w:val="5"/>
        <w:keepNext w:val="0"/>
        <w:keepLines w:val="0"/>
        <w:pageBreakBefore w:val="0"/>
        <w:widowControl w:val="0"/>
        <w:shd w:val="clear" w:color="auto" w:fill="FFFFFF"/>
        <w:kinsoku/>
        <w:wordWrap/>
        <w:overflowPunct/>
        <w:topLinePunct w:val="0"/>
        <w:autoSpaceDE/>
        <w:autoSpaceDN/>
        <w:bidi w:val="0"/>
        <w:adjustRightInd/>
        <w:snapToGrid/>
        <w:spacing w:before="0" w:beforeLines="100" w:after="0" w:afterLines="100" w:line="520" w:lineRule="exact"/>
        <w:ind w:left="0" w:leftChars="0" w:right="0" w:rightChars="0"/>
        <w:jc w:val="center"/>
        <w:textAlignment w:val="auto"/>
        <w:rPr>
          <w:rStyle w:val="8"/>
          <w:rFonts w:hint="eastAsia" w:ascii="仿宋_GB2312" w:hAnsi="仿宋_GB2312" w:eastAsia="仿宋_GB2312" w:cs="仿宋_GB2312"/>
          <w:bCs/>
          <w:sz w:val="32"/>
          <w:szCs w:val="32"/>
          <w:shd w:val="clear" w:color="auto" w:fill="FFFFFF"/>
        </w:rPr>
      </w:pPr>
      <w:r>
        <w:rPr>
          <w:rStyle w:val="8"/>
          <w:rFonts w:ascii="仿宋_GB2312" w:hAnsi="仿宋_GB2312" w:eastAsia="仿宋_GB2312" w:cs="仿宋_GB2312"/>
          <w:bCs/>
          <w:sz w:val="32"/>
          <w:szCs w:val="32"/>
          <w:shd w:val="clear" w:color="auto" w:fill="FFFFFF"/>
        </w:rPr>
        <w:t>第</w:t>
      </w:r>
      <w:r>
        <w:rPr>
          <w:rStyle w:val="8"/>
          <w:rFonts w:hint="eastAsia" w:ascii="仿宋_GB2312" w:hAnsi="仿宋_GB2312" w:eastAsia="仿宋_GB2312" w:cs="仿宋_GB2312"/>
          <w:bCs/>
          <w:sz w:val="32"/>
          <w:szCs w:val="32"/>
          <w:shd w:val="clear" w:color="auto" w:fill="FFFFFF"/>
        </w:rPr>
        <w:t>四</w:t>
      </w:r>
      <w:r>
        <w:rPr>
          <w:rStyle w:val="8"/>
          <w:rFonts w:ascii="仿宋_GB2312" w:hAnsi="仿宋_GB2312" w:eastAsia="仿宋_GB2312" w:cs="仿宋_GB2312"/>
          <w:bCs/>
          <w:sz w:val="32"/>
          <w:szCs w:val="32"/>
          <w:shd w:val="clear" w:color="auto" w:fill="FFFFFF"/>
        </w:rPr>
        <w:t>章考核与争议处理</w:t>
      </w:r>
    </w:p>
    <w:p w14:paraId="45558BB6">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第十</w:t>
      </w:r>
      <w:r>
        <w:rPr>
          <w:rFonts w:hint="eastAsia" w:ascii="仿宋_GB2312" w:hAnsi="仿宋_GB2312" w:eastAsia="仿宋_GB2312" w:cs="仿宋_GB2312"/>
          <w:b/>
          <w:bCs/>
          <w:sz w:val="32"/>
          <w:szCs w:val="32"/>
          <w:shd w:val="clear" w:color="auto" w:fill="FFFFFF"/>
          <w:lang w:val="en-US" w:eastAsia="zh-CN"/>
        </w:rPr>
        <w:t>三</w:t>
      </w:r>
      <w:r>
        <w:rPr>
          <w:rFonts w:ascii="仿宋_GB2312" w:hAnsi="仿宋_GB2312" w:eastAsia="仿宋_GB2312" w:cs="仿宋_GB2312"/>
          <w:b/>
          <w:bCs/>
          <w:sz w:val="32"/>
          <w:szCs w:val="32"/>
          <w:shd w:val="clear" w:color="auto" w:fill="FFFFFF"/>
        </w:rPr>
        <w:t>条【考核机制】</w:t>
      </w:r>
      <w:r>
        <w:rPr>
          <w:rFonts w:ascii="仿宋_GB2312" w:hAnsi="仿宋_GB2312" w:eastAsia="仿宋_GB2312" w:cs="仿宋_GB2312"/>
          <w:sz w:val="32"/>
          <w:szCs w:val="32"/>
          <w:shd w:val="clear" w:color="auto" w:fill="FFFFFF"/>
        </w:rPr>
        <w:t>基础设施的</w:t>
      </w:r>
      <w:r>
        <w:rPr>
          <w:rFonts w:hint="eastAsia" w:ascii="仿宋_GB2312" w:hAnsi="仿宋_GB2312" w:eastAsia="仿宋_GB2312" w:cs="仿宋_GB2312"/>
          <w:sz w:val="32"/>
          <w:szCs w:val="32"/>
          <w:shd w:val="clear" w:color="auto" w:fill="FFFFFF"/>
        </w:rPr>
        <w:t>维护</w:t>
      </w:r>
      <w:r>
        <w:rPr>
          <w:rFonts w:ascii="仿宋_GB2312" w:hAnsi="仿宋_GB2312" w:eastAsia="仿宋_GB2312" w:cs="仿宋_GB2312"/>
          <w:sz w:val="32"/>
          <w:szCs w:val="32"/>
          <w:shd w:val="clear" w:color="auto" w:fill="FFFFFF"/>
        </w:rPr>
        <w:t>工作纳入</w:t>
      </w:r>
      <w:r>
        <w:rPr>
          <w:rFonts w:hint="eastAsia" w:ascii="仿宋_GB2312" w:hAnsi="仿宋_GB2312" w:eastAsia="仿宋_GB2312" w:cs="仿宋_GB2312"/>
          <w:sz w:val="32"/>
          <w:szCs w:val="32"/>
          <w:shd w:val="clear" w:color="auto" w:fill="FFFFFF"/>
        </w:rPr>
        <w:t>电信基础设施</w:t>
      </w:r>
      <w:r>
        <w:rPr>
          <w:rFonts w:ascii="仿宋_GB2312" w:hAnsi="仿宋_GB2312" w:eastAsia="仿宋_GB2312" w:cs="仿宋_GB2312"/>
          <w:sz w:val="32"/>
          <w:szCs w:val="32"/>
          <w:shd w:val="clear" w:color="auto" w:fill="FFFFFF"/>
        </w:rPr>
        <w:t>共建共享</w:t>
      </w:r>
      <w:r>
        <w:rPr>
          <w:rFonts w:hint="eastAsia" w:ascii="仿宋_GB2312" w:hAnsi="仿宋_GB2312" w:eastAsia="仿宋_GB2312" w:cs="仿宋_GB2312"/>
          <w:sz w:val="32"/>
          <w:szCs w:val="32"/>
          <w:shd w:val="clear" w:color="auto" w:fill="FFFFFF"/>
        </w:rPr>
        <w:t>年度考核</w:t>
      </w:r>
      <w:r>
        <w:rPr>
          <w:rFonts w:ascii="仿宋_GB2312" w:hAnsi="仿宋_GB2312" w:eastAsia="仿宋_GB2312" w:cs="仿宋_GB2312"/>
          <w:sz w:val="32"/>
          <w:szCs w:val="32"/>
          <w:shd w:val="clear" w:color="auto" w:fill="FFFFFF"/>
        </w:rPr>
        <w:t>。通管办应结合本地实际，建立具体的考核评价办法，对基础电信企业的履行情况进行月度</w:t>
      </w: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季度及年度考核。</w:t>
      </w:r>
    </w:p>
    <w:p w14:paraId="7DDD9B0E">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第十</w:t>
      </w:r>
      <w:r>
        <w:rPr>
          <w:rFonts w:hint="eastAsia" w:ascii="仿宋_GB2312" w:hAnsi="仿宋_GB2312" w:eastAsia="仿宋_GB2312" w:cs="仿宋_GB2312"/>
          <w:b/>
          <w:bCs/>
          <w:sz w:val="32"/>
          <w:szCs w:val="32"/>
          <w:shd w:val="clear" w:color="auto" w:fill="FFFFFF"/>
          <w:lang w:val="en-US" w:eastAsia="zh-CN"/>
        </w:rPr>
        <w:t>四</w:t>
      </w:r>
      <w:r>
        <w:rPr>
          <w:rFonts w:ascii="仿宋_GB2312" w:hAnsi="仿宋_GB2312" w:eastAsia="仿宋_GB2312" w:cs="仿宋_GB2312"/>
          <w:b/>
          <w:bCs/>
          <w:sz w:val="32"/>
          <w:szCs w:val="32"/>
          <w:shd w:val="clear" w:color="auto" w:fill="FFFFFF"/>
        </w:rPr>
        <w:t>条【争议处理】</w:t>
      </w:r>
      <w:r>
        <w:rPr>
          <w:rFonts w:ascii="仿宋_GB2312" w:hAnsi="仿宋_GB2312" w:eastAsia="仿宋_GB2312" w:cs="仿宋_GB2312"/>
          <w:sz w:val="32"/>
          <w:szCs w:val="32"/>
          <w:shd w:val="clear" w:color="auto" w:fill="FFFFFF"/>
        </w:rPr>
        <w:t>在</w:t>
      </w:r>
      <w:r>
        <w:rPr>
          <w:rFonts w:hint="eastAsia" w:ascii="仿宋_GB2312" w:hAnsi="仿宋_GB2312" w:eastAsia="仿宋_GB2312" w:cs="仿宋_GB2312"/>
          <w:sz w:val="32"/>
          <w:szCs w:val="32"/>
          <w:shd w:val="clear" w:color="auto" w:fill="FFFFFF"/>
        </w:rPr>
        <w:t>维护</w:t>
      </w:r>
      <w:r>
        <w:rPr>
          <w:rFonts w:ascii="仿宋_GB2312" w:hAnsi="仿宋_GB2312" w:eastAsia="仿宋_GB2312" w:cs="仿宋_GB2312"/>
          <w:sz w:val="32"/>
          <w:szCs w:val="32"/>
          <w:shd w:val="clear" w:color="auto" w:fill="FFFFFF"/>
        </w:rPr>
        <w:t>管理工作中发生争议时，应首先由当事方协商解决。协商不成的，可提请属地通管办进行协调。通管办协调无效的，</w:t>
      </w:r>
      <w:r>
        <w:rPr>
          <w:rFonts w:hint="eastAsia" w:ascii="仿宋_GB2312" w:hAnsi="仿宋_GB2312" w:eastAsia="仿宋_GB2312" w:cs="仿宋_GB2312"/>
          <w:sz w:val="32"/>
          <w:szCs w:val="32"/>
          <w:shd w:val="clear" w:color="auto" w:fill="FFFFFF"/>
        </w:rPr>
        <w:t>报省通信管理局协调解决</w:t>
      </w:r>
      <w:r>
        <w:rPr>
          <w:rFonts w:ascii="仿宋_GB2312" w:hAnsi="仿宋_GB2312" w:eastAsia="仿宋_GB2312" w:cs="仿宋_GB2312"/>
          <w:sz w:val="32"/>
          <w:szCs w:val="32"/>
          <w:shd w:val="clear" w:color="auto" w:fill="FFFFFF"/>
        </w:rPr>
        <w:t>。</w:t>
      </w:r>
    </w:p>
    <w:p w14:paraId="1B13324D">
      <w:pPr>
        <w:pStyle w:val="5"/>
        <w:keepNext w:val="0"/>
        <w:keepLines w:val="0"/>
        <w:pageBreakBefore w:val="0"/>
        <w:widowControl w:val="0"/>
        <w:shd w:val="clear" w:color="auto" w:fill="FFFFFF"/>
        <w:kinsoku/>
        <w:wordWrap/>
        <w:overflowPunct/>
        <w:topLinePunct w:val="0"/>
        <w:autoSpaceDE/>
        <w:autoSpaceDN/>
        <w:bidi w:val="0"/>
        <w:adjustRightInd/>
        <w:snapToGrid/>
        <w:spacing w:before="0" w:beforeLines="100" w:after="0" w:afterLines="100" w:line="520" w:lineRule="exact"/>
        <w:ind w:left="0" w:leftChars="0" w:right="0" w:rightChars="0"/>
        <w:jc w:val="center"/>
        <w:textAlignment w:val="auto"/>
        <w:rPr>
          <w:rStyle w:val="8"/>
          <w:rFonts w:hint="eastAsia" w:ascii="仿宋_GB2312" w:hAnsi="仿宋_GB2312" w:eastAsia="仿宋_GB2312" w:cs="仿宋_GB2312"/>
          <w:bCs/>
          <w:sz w:val="32"/>
          <w:szCs w:val="32"/>
          <w:shd w:val="clear" w:color="auto" w:fill="FFFFFF"/>
        </w:rPr>
      </w:pPr>
      <w:r>
        <w:rPr>
          <w:rStyle w:val="8"/>
          <w:rFonts w:ascii="仿宋_GB2312" w:hAnsi="仿宋_GB2312" w:eastAsia="仿宋_GB2312" w:cs="仿宋_GB2312"/>
          <w:bCs/>
          <w:sz w:val="32"/>
          <w:szCs w:val="32"/>
          <w:shd w:val="clear" w:color="auto" w:fill="FFFFFF"/>
        </w:rPr>
        <w:t>第</w:t>
      </w:r>
      <w:r>
        <w:rPr>
          <w:rStyle w:val="8"/>
          <w:rFonts w:hint="eastAsia" w:ascii="仿宋_GB2312" w:hAnsi="仿宋_GB2312" w:eastAsia="仿宋_GB2312" w:cs="仿宋_GB2312"/>
          <w:bCs/>
          <w:sz w:val="32"/>
          <w:szCs w:val="32"/>
          <w:shd w:val="clear" w:color="auto" w:fill="FFFFFF"/>
        </w:rPr>
        <w:t>五</w:t>
      </w:r>
      <w:r>
        <w:rPr>
          <w:rStyle w:val="8"/>
          <w:rFonts w:ascii="仿宋_GB2312" w:hAnsi="仿宋_GB2312" w:eastAsia="仿宋_GB2312" w:cs="仿宋_GB2312"/>
          <w:bCs/>
          <w:sz w:val="32"/>
          <w:szCs w:val="32"/>
          <w:shd w:val="clear" w:color="auto" w:fill="FFFFFF"/>
        </w:rPr>
        <w:t>章附则</w:t>
      </w:r>
    </w:p>
    <w:p w14:paraId="4A7D8006">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第十</w:t>
      </w:r>
      <w:r>
        <w:rPr>
          <w:rFonts w:hint="eastAsia" w:ascii="仿宋_GB2312" w:hAnsi="仿宋_GB2312" w:eastAsia="仿宋_GB2312" w:cs="仿宋_GB2312"/>
          <w:b/>
          <w:bCs/>
          <w:sz w:val="32"/>
          <w:szCs w:val="32"/>
          <w:shd w:val="clear" w:color="auto" w:fill="FFFFFF"/>
          <w:lang w:val="en-US" w:eastAsia="zh-CN"/>
        </w:rPr>
        <w:t>五</w:t>
      </w:r>
      <w:r>
        <w:rPr>
          <w:rFonts w:ascii="仿宋_GB2312" w:hAnsi="仿宋_GB2312" w:eastAsia="仿宋_GB2312" w:cs="仿宋_GB2312"/>
          <w:b/>
          <w:bCs/>
          <w:sz w:val="32"/>
          <w:szCs w:val="32"/>
          <w:shd w:val="clear" w:color="auto" w:fill="FFFFFF"/>
        </w:rPr>
        <w:t>条【解释权】</w:t>
      </w:r>
      <w:r>
        <w:rPr>
          <w:rFonts w:ascii="仿宋_GB2312" w:hAnsi="仿宋_GB2312" w:eastAsia="仿宋_GB2312" w:cs="仿宋_GB2312"/>
          <w:sz w:val="32"/>
          <w:szCs w:val="32"/>
          <w:shd w:val="clear" w:color="auto" w:fill="FFFFFF"/>
        </w:rPr>
        <w:t>本细则由云南省通信管理局负责解释。</w:t>
      </w:r>
    </w:p>
    <w:p w14:paraId="67ACAEF4">
      <w:pPr>
        <w:pStyle w:val="5"/>
        <w:shd w:val="clear" w:color="auto" w:fill="FFFFFF"/>
        <w:spacing w:line="520" w:lineRule="exact"/>
        <w:ind w:firstLine="643" w:firstLineChars="200"/>
        <w:jc w:val="left"/>
        <w:rPr>
          <w:rFonts w:hint="eastAsia"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第十</w:t>
      </w:r>
      <w:r>
        <w:rPr>
          <w:rFonts w:hint="eastAsia" w:ascii="仿宋_GB2312" w:hAnsi="仿宋_GB2312" w:eastAsia="仿宋_GB2312" w:cs="仿宋_GB2312"/>
          <w:b/>
          <w:bCs/>
          <w:sz w:val="32"/>
          <w:szCs w:val="32"/>
          <w:shd w:val="clear" w:color="auto" w:fill="FFFFFF"/>
          <w:lang w:val="en-US" w:eastAsia="zh-CN"/>
        </w:rPr>
        <w:t>六</w:t>
      </w:r>
      <w:r>
        <w:rPr>
          <w:rFonts w:ascii="仿宋_GB2312" w:hAnsi="仿宋_GB2312" w:eastAsia="仿宋_GB2312" w:cs="仿宋_GB2312"/>
          <w:b/>
          <w:bCs/>
          <w:sz w:val="32"/>
          <w:szCs w:val="32"/>
          <w:shd w:val="clear" w:color="auto" w:fill="FFFFFF"/>
        </w:rPr>
        <w:t>条【生效时间】</w:t>
      </w:r>
      <w:r>
        <w:rPr>
          <w:rFonts w:ascii="仿宋_GB2312" w:hAnsi="仿宋_GB2312" w:eastAsia="仿宋_GB2312" w:cs="仿宋_GB2312"/>
          <w:sz w:val="32"/>
          <w:szCs w:val="32"/>
          <w:shd w:val="clear" w:color="auto" w:fill="FFFFFF"/>
        </w:rPr>
        <w:t>本细则自发布之日起施行</w:t>
      </w:r>
    </w:p>
    <w:sectPr>
      <w:footerReference r:id="rId3" w:type="default"/>
      <w:pgSz w:w="11900" w:h="15840"/>
      <w:pgMar w:top="1440" w:right="1800" w:bottom="1440" w:left="1800"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7A653">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E19E8D">
                          <w:pPr>
                            <w:pStyle w:val="3"/>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4E19E8D">
                    <w:pPr>
                      <w:pStyle w:val="3"/>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D18"/>
    <w:rsid w:val="000E3BB8"/>
    <w:rsid w:val="000F34F3"/>
    <w:rsid w:val="0011416D"/>
    <w:rsid w:val="00123E88"/>
    <w:rsid w:val="00167D63"/>
    <w:rsid w:val="00190D18"/>
    <w:rsid w:val="002638F9"/>
    <w:rsid w:val="002F2E57"/>
    <w:rsid w:val="003408DD"/>
    <w:rsid w:val="0038325F"/>
    <w:rsid w:val="004441CF"/>
    <w:rsid w:val="0048248F"/>
    <w:rsid w:val="0057644A"/>
    <w:rsid w:val="005E0586"/>
    <w:rsid w:val="00611DD7"/>
    <w:rsid w:val="00784C6C"/>
    <w:rsid w:val="007F3ECC"/>
    <w:rsid w:val="008D1D84"/>
    <w:rsid w:val="008F61E0"/>
    <w:rsid w:val="00964A45"/>
    <w:rsid w:val="00A822DA"/>
    <w:rsid w:val="00BF43B6"/>
    <w:rsid w:val="00C42962"/>
    <w:rsid w:val="00E27E3E"/>
    <w:rsid w:val="00E61097"/>
    <w:rsid w:val="00E7532B"/>
    <w:rsid w:val="00EF152A"/>
    <w:rsid w:val="00F414C7"/>
    <w:rsid w:val="00F831D3"/>
    <w:rsid w:val="03E108DE"/>
    <w:rsid w:val="066070AF"/>
    <w:rsid w:val="06925086"/>
    <w:rsid w:val="09265ED9"/>
    <w:rsid w:val="093E2B45"/>
    <w:rsid w:val="105E23FD"/>
    <w:rsid w:val="10720D14"/>
    <w:rsid w:val="10A02EE2"/>
    <w:rsid w:val="15AE7514"/>
    <w:rsid w:val="17CE6886"/>
    <w:rsid w:val="196A3BC0"/>
    <w:rsid w:val="1A7840BB"/>
    <w:rsid w:val="1BF105C9"/>
    <w:rsid w:val="1DB96EC4"/>
    <w:rsid w:val="21020B82"/>
    <w:rsid w:val="21350FC0"/>
    <w:rsid w:val="22347461"/>
    <w:rsid w:val="242157C3"/>
    <w:rsid w:val="24C22B02"/>
    <w:rsid w:val="26993D37"/>
    <w:rsid w:val="26B648E9"/>
    <w:rsid w:val="27637E7B"/>
    <w:rsid w:val="2A5266D7"/>
    <w:rsid w:val="2E7E5B62"/>
    <w:rsid w:val="34F77A07"/>
    <w:rsid w:val="357D7750"/>
    <w:rsid w:val="39D344B9"/>
    <w:rsid w:val="3CB91AA9"/>
    <w:rsid w:val="3D0824CA"/>
    <w:rsid w:val="3EE62F68"/>
    <w:rsid w:val="4036282E"/>
    <w:rsid w:val="41F45B5C"/>
    <w:rsid w:val="42102DCA"/>
    <w:rsid w:val="45961716"/>
    <w:rsid w:val="473C009B"/>
    <w:rsid w:val="47CA0B64"/>
    <w:rsid w:val="47F07E86"/>
    <w:rsid w:val="4C207F8B"/>
    <w:rsid w:val="4EE74D90"/>
    <w:rsid w:val="4EF456FF"/>
    <w:rsid w:val="4F1162B1"/>
    <w:rsid w:val="5863420C"/>
    <w:rsid w:val="587555F4"/>
    <w:rsid w:val="5AA4622B"/>
    <w:rsid w:val="5AF66BA5"/>
    <w:rsid w:val="5B2E3F1F"/>
    <w:rsid w:val="5BDB393E"/>
    <w:rsid w:val="5C0351D3"/>
    <w:rsid w:val="5C1A53B2"/>
    <w:rsid w:val="5C4233A6"/>
    <w:rsid w:val="63892462"/>
    <w:rsid w:val="67B27768"/>
    <w:rsid w:val="6F8B330A"/>
    <w:rsid w:val="72495687"/>
    <w:rsid w:val="745D14CD"/>
    <w:rsid w:val="74D6127F"/>
    <w:rsid w:val="78397B5B"/>
    <w:rsid w:val="7C507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9"/>
    <w:qFormat/>
    <w:uiPriority w:val="0"/>
    <w:pPr>
      <w:tabs>
        <w:tab w:val="center" w:pos="4153"/>
        <w:tab w:val="right" w:pos="8306"/>
      </w:tabs>
      <w:snapToGrid w:val="0"/>
      <w:jc w:val="center"/>
    </w:pPr>
    <w:rPr>
      <w:sz w:val="18"/>
      <w:szCs w:val="18"/>
    </w:rPr>
  </w:style>
  <w:style w:type="paragraph" w:styleId="5">
    <w:name w:val="Normal (Web)"/>
    <w:basedOn w:val="1"/>
    <w:qFormat/>
    <w:uiPriority w:val="0"/>
    <w:rPr>
      <w:sz w:val="24"/>
    </w:rPr>
  </w:style>
  <w:style w:type="character" w:styleId="8">
    <w:name w:val="Strong"/>
    <w:basedOn w:val="7"/>
    <w:qFormat/>
    <w:uiPriority w:val="0"/>
    <w:rPr>
      <w:b/>
    </w:rPr>
  </w:style>
  <w:style w:type="character" w:customStyle="1" w:styleId="9">
    <w:name w:val="页眉 字符"/>
    <w:basedOn w:val="7"/>
    <w:link w:val="4"/>
    <w:qFormat/>
    <w:uiPriority w:val="0"/>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2175</Words>
  <Characters>2180</Characters>
  <Lines>15</Lines>
  <Paragraphs>4</Paragraphs>
  <TotalTime>10</TotalTime>
  <ScaleCrop>false</ScaleCrop>
  <LinksUpToDate>false</LinksUpToDate>
  <CharactersWithSpaces>2180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2026-05-15T02:16:00Z</dcterms:created>
  <dc:creator>Apache POI</dc:creator>
  <cp:lastModifiedBy>Administrator</cp:lastModifiedBy>
  <cp:lastPrinted>2026-05-15T02:18:00Z</cp:lastPrinted>
  <dcterms:modified xsi:type="dcterms:W3CDTF">2026-07-08T09:50:43Z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ContentPropagator":"001191440101MA9Y9T4H7A00000","Label":"1","ReservedCode1":"QLMLVGzazwWhgCBnoGD0Tr+q33s9OLJV1MW00frMjgM=","ProduceID":"doc_sgs:e2bf17e0-46d9-430b-a5d2-824e7abaa5c0","ReservedCode2":"QLMLVGzazwWhgCBnoGD0Tr+q33s9OLJV1MW00frMjgM=","PropagateID":"doc_sgs:e2bf17e0-46d9-430b-a5d2-824e7abaa5c0","ContentProducer":"001191440101MA9Y9T4H7A00000"}</vt:lpwstr>
  </property>
  <property fmtid="{D5CDD505-2E9C-101B-9397-08002B2CF9AE}" pid="3" name="KSOTemplateDocerSaveRecord">
    <vt:lpwstr>eyJoZGlkIjoiM2RlNmMxNzFjZTFlNmIzNjNlZmM0MGM4NWM1M2ZmNWMiLCJ1c2VySWQiOiI2MzQ5MjQzOTUifQ==</vt:lpwstr>
  </property>
  <property fmtid="{D5CDD505-2E9C-101B-9397-08002B2CF9AE}" pid="4" name="KSOProductBuildVer">
    <vt:lpwstr>2052-12.8.2.19823</vt:lpwstr>
  </property>
  <property fmtid="{D5CDD505-2E9C-101B-9397-08002B2CF9AE}" pid="5" name="ICV">
    <vt:lpwstr>86BD0FC4862942AB89D58800713831C0_12</vt:lpwstr>
  </property>
</Properties>
</file>